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F4EA">
      <w:pPr>
        <w:spacing w:line="240" w:lineRule="auto"/>
        <w:jc w:val="center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40E0E65A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102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JajWKjZAQAAnAMAAA4AAABkcnMvZTJvRG9jLnhtbK1Tu44TMRTtkfgHyz2Z&#10;SRBhNcpki42WBkEkHr3jsTOW/NK9Tib5CX4AiQ4qSnr+huUzuPZkw+7SbMEUln0f5/ocn1lcHpxl&#10;ewVogm/5dFJzprwMnfHbln94f/3sgjNMwnfCBq9aflTIL5dPnyyG2KhZ6IPtFDAC8dgMseV9SrGp&#10;KpS9cgInISpPSR3AiURH2FYdiIHQna1mdT2vhgBdhCAVIkVXY5KfEOExgEFrI9UqyJ1TPo2ooKxI&#10;RAl7E5Evy221VjK91RpVYrblxDSVlYbQfpPXarkQzRZE7I08XUE85goPODlhPA09Q61EEmwH5h8o&#10;ZyQEDDpNZHDVSKQoQiym9QNt3vUiqsKFpMZ4Fh3/H6x8s18DMx05oZ7NOfPC0ZvffP7x69PX3z+/&#10;0Hrz/RubZZ2GiA2VX/k1nE4Y15BJHzQ4pq2JHwmmyEDE2KGofDyrrA6JSQq+mNf1y5oeQN7mqhEi&#10;Q0XA9EoFx/Km5db4LIBoxP41JhpLpbclOWw9G1r+/GJa8ATZUZMNCNpFotRtbGnGYE13bazNLQjb&#10;zZUFthfZEuXL7Aj4XlmeshLYj3UlNZoFws53Y4P11JdlGYXIu03ojkWfEqdHK8gng2VX3D2X7r8/&#10;1f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Tex380AAAACAQAADwAAAAAAAAABACAAAAAiAAAA&#10;ZHJzL2Rvd25yZXYueG1sUEsBAhQAFAAAAAgAh07iQJajWKjZAQAAnAMAAA4AAAAAAAAAAQAgAAAA&#10;HAEAAGRycy9lMm9Eb2MueG1sUEsFBgAAAAAGAAYAWQEAAGc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4978B942">
      <w:pPr>
        <w:spacing w:line="600" w:lineRule="exact"/>
        <w:jc w:val="center"/>
        <w:rPr>
          <w:rFonts w:ascii="方正仿宋_GB2312" w:hAnsi="仿宋"/>
          <w:color w:val="auto"/>
        </w:rPr>
      </w:pPr>
      <w:r>
        <w:rPr>
          <w:rFonts w:hint="eastAsia" w:ascii="方正仿宋_GB2312" w:hAnsi="仿宋"/>
          <w:color w:val="auto"/>
          <w:sz w:val="24"/>
          <w:szCs w:val="24"/>
          <w:lang w:val="en-US" w:eastAsia="zh-CN"/>
        </w:rPr>
        <w:t>四西城处罚决〔2025〕 RQB02号</w:t>
      </w:r>
    </w:p>
    <w:p w14:paraId="0455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当事单位：四平XX有限公司</w:t>
      </w:r>
    </w:p>
    <w:p w14:paraId="0163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四平市铁西区XXXX商网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</w:p>
    <w:p w14:paraId="51A2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徐XX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总经理</w:t>
      </w:r>
    </w:p>
    <w:p w14:paraId="6D620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违法事实及证据：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2025年11月27日至30日，中央安全生产考核巡查组第二组对吉林省开展了2025年度安全生产考核巡查，在巡查中，发现你单位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在四平市铁西区XXXX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“门站工艺装置区内电源接线盒的线缆套管接头损坏导致线缆裸露，加臭机内电源线缆套管不合规且线缆裸露，不具有与该区域爆炸危险等级相对应的防爆性能”存在重大事故隐患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。以上事实有影像资料、《询问笔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录》、四平市铁西区安全生产委员会办公室《关于四平市润发燃气有限公司安全隐患的交办函》（四铁西安委办函〔2025〕76号）等为证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61D1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你单位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陈述申辩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上辩称主动整改，消除隐患符合《中华人民共和国行政处罚法》中“主动消除或者减轻违法行为危害后果”的从轻或减轻处罚情形，此次隐患属于设备长期运行导致的偶发部件损坏，并非日常管理缺失或主观故意违规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本机关认为你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单位虽然对2025年5月份市燃气专班开展天然气门站检查中，发现的天然气门站自动加臭泵损坏存在重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大安全隐患问题进行了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整改。但此次中央安全生产考核巡查组第二组对吉林省开展了2025年度安全生产考核巡查时，又发现你单位存在“门站工艺装置区内电源接线盒的线缆套管接头损坏导致线缆裸露，加臭机内电源线缆套管不合规且线缆裸露，不具有与该区域爆炸危险等级相对应的防爆性能”存在重大事故隐患问题。因你单位经营的天然气门站出现重大安全隐患问题，故你单位的上述从轻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或减轻处罚意见，本机关未予采纳。</w:t>
      </w:r>
    </w:p>
    <w:p w14:paraId="5DCD9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以上事实违反了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《城镇燃气管理条例》第四十一条第一款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的规定，依据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《城镇燃气管理条例》第四十八条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的规定，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鉴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于你单位经营的天然气门站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二次出现重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大安全隐患问题，根据《吉林省住房和城乡建设行政处罚自由裁量基准》序号335，决定给予你单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位罚款人民币肆万元整的行政处罚。</w:t>
      </w:r>
    </w:p>
    <w:p w14:paraId="0088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到本机关财务科开具《罚没缴款通知书》后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通过“吉林省财政非税收缴平台”或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345B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60日内依法向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本机关将依法申请人民法院强制执行或依照有关规定强制执行。</w:t>
      </w:r>
    </w:p>
    <w:p w14:paraId="72F5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7BB2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7A79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</w:p>
    <w:p w14:paraId="20DE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方正仿宋_GB2312" w:hAnsi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1E33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24130</wp:posOffset>
                </wp:positionV>
                <wp:extent cx="5486400" cy="0"/>
                <wp:effectExtent l="0" t="9525" r="0" b="9525"/>
                <wp:wrapNone/>
                <wp:docPr id="102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9.9pt;margin-top:1.9pt;height:0pt;width:432pt;z-index:251659264;mso-width-relative:page;mso-height-relative:page;" filled="f" stroked="t" coordsize="21600,21600" o:gfxdata="UEsDBAoAAAAAAIdO4kAAAAAAAAAAAAAAAAAEAAAAZHJzL1BLAwQUAAAACACHTuJAB1PdWtQAAAAH&#10;AQAADwAAAGRycy9kb3ducmV2LnhtbE2OwU7DMBBE70j8g7VI3FonJaA0xKlEJS69ESrocRu7SYS9&#10;jmI3bf6ehQucVqMZvX3l5uqsmMwYek8K0mUCwlDjdU+tgv376yIHESKSRuvJKJhNgE11e1Niof2F&#10;3sxUx1YwhEKBCroYh0LK0HTGYVj6wRB3Jz86jBzHVuoRLwx3Vq6S5Ek67Ik/dDiYbWear/rsmPL4&#10;mb/sMN/Ps60P62z7sZvIKXV/lybPIKK5xr8x/OizOlTsdPRn0kFYBYt0zepRwQMf7vMsW4E4/mZZ&#10;lfK/f/UNUEsDBBQAAAAIAIdO4kASSZKX0wEAAJIDAAAOAAAAZHJzL2Uyb0RvYy54bWytU81uEzEQ&#10;viPxDpbvZDdRW8oqmx4alQuCSMADOF47a8l/mnGyyUvwAkjc4MSRO29D+xiMvWkK5dIDOTjj+flm&#10;vs+z86u9s2ynAE3wLZ9Oas6Ul6EzftPyjx9uXlxyhkn4TtjgVcsPCvnV4vmz+RAbNQt9sJ0CRiAe&#10;myG2vE8pNlWFsldO4CRE5SmoAziR6AqbqgMxELqz1ayuL6ohQBchSIVI3uUY5EdEeApg0NpItQxy&#10;65RPIyooKxJRwt5E5IsyrdZKpndao0rMtpyYpnJSE7LX+awWc9FsQMTeyOMI4ikjPOLkhPHU9AS1&#10;FEmwLZh/oJyREDDoNJHBVSORogixmNaPtHnfi6gKF5Ia40l0/H+w8u1uBcx0tAn17CVnXjh689vP&#10;P359+nr38wudt9+/sWnWaYjYUPq1X8HxhnEFmfReg8v/RIfti7aHk7Zqn5gk5/nZ5cVZTbLL+1j1&#10;UBgB02sVHMtGy63xmbZoxO4NJmpGqfcp2W09G2jgV/V5xhO0hJoen0wXiQj6TSnGYE13Y6zNJQib&#10;9bUFthN5EcovcyLgv9Jyl6XAfswroXFFIGx9NxZYT3VZjJF+ttahOxRVip+eqiAf1yrvwp/3Uv3w&#10;KS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dT3VrUAAAABwEAAA8AAAAAAAAAAQAgAAAAIgAA&#10;AGRycy9kb3ducmV2LnhtbFBLAQIUABQAAAAIAIdO4kASSZKX0wEAAJIDAAAOAAAAAAAAAAEAIAAA&#10;ACMBAABkcnMvZTJvRG9jLnhtbFBLBQYAAAAABgAGAFkBAABo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p w14:paraId="113E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仿宋_GB2312" w:hAnsi="仿宋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1169</Characters>
  <Paragraphs>18</Paragraphs>
  <TotalTime>2</TotalTime>
  <ScaleCrop>false</ScaleCrop>
  <LinksUpToDate>false</LinksUpToDate>
  <CharactersWithSpaces>1289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2026-02-12T01:29:46Z</cp:lastPrinted>
  <dcterms:modified xsi:type="dcterms:W3CDTF">2026-02-12T01:29:48Z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dad7f69f378c4fd28d3483b08aa50375_23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