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84F8E9">
      <w:pPr>
        <w:spacing w:line="240" w:lineRule="auto"/>
        <w:jc w:val="center"/>
        <w:rPr>
          <w:rFonts w:hint="eastAsia" w:ascii="仿宋_GB2312" w:hAnsi="仿宋" w:cs="仿宋"/>
          <w:sz w:val="48"/>
          <w:szCs w:val="48"/>
        </w:rPr>
      </w:pPr>
      <w:r>
        <w:rPr>
          <w:rFonts w:hint="eastAsia" w:ascii="宋体" w:hAnsi="宋体" w:eastAsia="宋体" w:cs="宋体"/>
          <w:b/>
          <w:bCs/>
          <w:sz w:val="48"/>
          <w:szCs w:val="48"/>
          <w:lang w:val="en-US" w:eastAsia="zh-CN"/>
        </w:rPr>
        <w:t>四平市铁西区城市管理行政执法局</w:t>
      </w:r>
    </w:p>
    <w:p w14:paraId="3C8E33D1">
      <w:pPr>
        <w:spacing w:line="600" w:lineRule="exact"/>
        <w:jc w:val="center"/>
        <w:rPr>
          <w:rFonts w:ascii="华文中宋" w:hAnsi="华文中宋" w:eastAsia="华文中宋" w:cs="黑体"/>
          <w:b/>
          <w:color w:val="auto"/>
          <w:sz w:val="44"/>
          <w:szCs w:val="44"/>
        </w:rPr>
      </w:pPr>
      <w:r>
        <w:rPr>
          <w:color w:val="auto"/>
          <w:sz w:val="44"/>
          <w:szCs w:val="44"/>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600700" cy="0"/>
                <wp:effectExtent l="0" t="19050" r="0" b="19050"/>
                <wp:wrapNone/>
                <wp:docPr id="19" name="直接连接符 19"/>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38100" cmpd="dbl">
                          <a:solidFill>
                            <a:srgbClr val="000000"/>
                          </a:solidFill>
                          <a:round/>
                        </a:ln>
                        <a:effectLst/>
                      </wps:spPr>
                      <wps:bodyPr/>
                    </wps:wsp>
                  </a:graphicData>
                </a:graphic>
              </wp:anchor>
            </w:drawing>
          </mc:Choice>
          <mc:Fallback>
            <w:pict>
              <v:line id="_x0000_s1026" o:spid="_x0000_s1026" o:spt="20" style="position:absolute;left:0pt;flip:y;margin-left:0pt;margin-top:0pt;height:0pt;width:441pt;z-index:251659264;mso-width-relative:page;mso-height-relative:page;" filled="f" stroked="t" coordsize="21600,21600" o:allowincell="f" o:gfxdata="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h&#10;N7HfzQAAAAIBAAAPAAAAAAAAAAEAIAAAACIAAABkcnMvZG93bnJldi54bWxQSwECFAAUAAAACACH&#10;TuJAcT43EfYBAADQAwAADgAAAAAAAAABACAAAAAcAQAAZHJzL2Uyb0RvYy54bWxQSwUGAAAAAAYA&#10;BgBZAQAAhAU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color w:val="auto"/>
          <w:sz w:val="44"/>
          <w:szCs w:val="44"/>
        </w:rPr>
        <w:t>行政处罚决定书</w:t>
      </w:r>
    </w:p>
    <w:p w14:paraId="10E2A511">
      <w:pPr>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32"/>
          <w:szCs w:val="32"/>
          <w:lang w:val="en-US" w:eastAsia="zh-CN"/>
        </w:rPr>
        <w:t>四西城</w:t>
      </w:r>
      <w:r>
        <w:rPr>
          <w:rFonts w:hint="eastAsia" w:ascii="宋体" w:hAnsi="宋体" w:eastAsia="宋体" w:cs="宋体"/>
          <w:color w:val="auto"/>
          <w:sz w:val="32"/>
          <w:szCs w:val="32"/>
          <w:lang w:eastAsia="zh-CN"/>
        </w:rPr>
        <w:t>处</w:t>
      </w:r>
      <w:r>
        <w:rPr>
          <w:rFonts w:hint="eastAsia" w:ascii="宋体" w:hAnsi="宋体" w:eastAsia="宋体" w:cs="宋体"/>
          <w:color w:val="auto"/>
          <w:sz w:val="32"/>
          <w:szCs w:val="32"/>
        </w:rPr>
        <w:t>罚</w:t>
      </w:r>
      <w:r>
        <w:rPr>
          <w:rFonts w:hint="eastAsia" w:ascii="宋体" w:hAnsi="宋体" w:eastAsia="宋体" w:cs="宋体"/>
          <w:color w:val="auto"/>
          <w:sz w:val="32"/>
          <w:szCs w:val="32"/>
          <w:lang w:eastAsia="zh-CN"/>
        </w:rPr>
        <w:t>决</w:t>
      </w:r>
      <w:r>
        <w:rPr>
          <w:rFonts w:hint="eastAsia" w:ascii="宋体" w:hAnsi="宋体" w:eastAsia="宋体" w:cs="宋体"/>
          <w:color w:val="auto"/>
          <w:sz w:val="32"/>
          <w:szCs w:val="32"/>
        </w:rPr>
        <w:t>〔</w:t>
      </w:r>
      <w:r>
        <w:rPr>
          <w:rFonts w:hint="eastAsia" w:ascii="宋体" w:hAnsi="宋体" w:eastAsia="宋体" w:cs="宋体"/>
          <w:color w:val="auto"/>
          <w:sz w:val="32"/>
          <w:szCs w:val="32"/>
          <w:lang w:val="en-US" w:eastAsia="zh-CN"/>
        </w:rPr>
        <w:t>2025</w:t>
      </w:r>
      <w:r>
        <w:rPr>
          <w:rFonts w:hint="eastAsia" w:ascii="宋体" w:hAnsi="宋体" w:eastAsia="宋体" w:cs="宋体"/>
          <w:color w:val="auto"/>
          <w:sz w:val="32"/>
          <w:szCs w:val="32"/>
        </w:rPr>
        <w:t>〕</w:t>
      </w:r>
      <w:r>
        <w:rPr>
          <w:rFonts w:hint="eastAsia" w:ascii="宋体" w:hAnsi="宋体" w:eastAsia="宋体" w:cs="宋体"/>
          <w:b w:val="0"/>
          <w:bCs w:val="0"/>
          <w:sz w:val="32"/>
          <w:szCs w:val="32"/>
          <w:lang w:val="en-US" w:eastAsia="zh-CN"/>
        </w:rPr>
        <w:t>LD014</w:t>
      </w:r>
      <w:r>
        <w:rPr>
          <w:rFonts w:hint="eastAsia" w:ascii="宋体" w:hAnsi="宋体" w:eastAsia="宋体" w:cs="宋体"/>
          <w:color w:val="auto"/>
          <w:sz w:val="32"/>
          <w:szCs w:val="32"/>
        </w:rPr>
        <w:t xml:space="preserve"> 号</w:t>
      </w:r>
    </w:p>
    <w:p w14:paraId="2A21075B">
      <w:pPr>
        <w:spacing w:line="360" w:lineRule="auto"/>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rPr>
        <w:t>当事人</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李X</w:t>
      </w:r>
      <w:r>
        <w:rPr>
          <w:rFonts w:hint="eastAsia" w:ascii="仿宋" w:hAnsi="仿宋" w:eastAsia="仿宋" w:cs="仿宋"/>
          <w:color w:val="auto"/>
          <w:sz w:val="24"/>
          <w:szCs w:val="24"/>
          <w:u w:val="none"/>
        </w:rPr>
        <w:t xml:space="preserve">                  </w:t>
      </w:r>
      <w:r>
        <w:rPr>
          <w:rFonts w:hint="eastAsia" w:ascii="仿宋" w:hAnsi="仿宋" w:eastAsia="仿宋" w:cs="仿宋"/>
          <w:color w:val="auto"/>
          <w:sz w:val="24"/>
          <w:szCs w:val="24"/>
          <w:u w:val="none"/>
          <w:lang w:val="en-US" w:eastAsia="zh-CN"/>
        </w:rPr>
        <w:t xml:space="preserve">   </w:t>
      </w:r>
    </w:p>
    <w:p w14:paraId="5E6682C4">
      <w:pPr>
        <w:spacing w:line="360" w:lineRule="auto"/>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电话</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138XXXX1321</w:t>
      </w:r>
      <w:r>
        <w:rPr>
          <w:rFonts w:hint="eastAsia" w:ascii="仿宋" w:hAnsi="仿宋" w:eastAsia="仿宋" w:cs="仿宋"/>
          <w:color w:val="auto"/>
          <w:sz w:val="24"/>
          <w:szCs w:val="24"/>
          <w:u w:val="none"/>
        </w:rPr>
        <w:t xml:space="preserve">                    邮政编码</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136000</w:t>
      </w:r>
      <w:r>
        <w:rPr>
          <w:rFonts w:hint="eastAsia" w:ascii="仿宋" w:hAnsi="仿宋" w:eastAsia="仿宋" w:cs="仿宋"/>
          <w:color w:val="auto"/>
          <w:sz w:val="24"/>
          <w:szCs w:val="24"/>
          <w:u w:val="none"/>
        </w:rPr>
        <w:t xml:space="preserve">                 </w:t>
      </w:r>
    </w:p>
    <w:p w14:paraId="10E885A9">
      <w:pPr>
        <w:spacing w:line="360" w:lineRule="auto"/>
        <w:ind w:left="560" w:hanging="480" w:hangingChars="200"/>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rPr>
        <w:t>当事人地址</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 xml:space="preserve">四平市铁西区XXXX1层2单元104    </w:t>
      </w:r>
    </w:p>
    <w:p w14:paraId="427226EA">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color w:val="auto"/>
          <w:sz w:val="24"/>
          <w:szCs w:val="24"/>
          <w:lang w:eastAsia="zh-CN"/>
        </w:rPr>
        <w:t>违</w:t>
      </w:r>
      <w:r>
        <w:rPr>
          <w:rFonts w:hint="eastAsia" w:ascii="仿宋" w:hAnsi="仿宋" w:eastAsia="仿宋" w:cs="仿宋"/>
          <w:color w:val="auto"/>
          <w:sz w:val="24"/>
          <w:szCs w:val="24"/>
        </w:rPr>
        <w:t>法事实及证据：</w:t>
      </w:r>
      <w:r>
        <w:rPr>
          <w:rFonts w:hint="eastAsia" w:ascii="仿宋" w:hAnsi="仿宋" w:eastAsia="仿宋" w:cs="仿宋"/>
          <w:color w:val="auto"/>
          <w:sz w:val="24"/>
          <w:szCs w:val="24"/>
          <w:u w:val="none"/>
          <w:lang w:val="en-US" w:eastAsia="zh-CN"/>
        </w:rPr>
        <w:t>在四平市铁西区XXXX1层2单元104</w:t>
      </w:r>
      <w:r>
        <w:rPr>
          <w:rFonts w:hint="eastAsia" w:ascii="仿宋" w:hAnsi="仿宋" w:eastAsia="仿宋" w:cs="仿宋"/>
          <w:sz w:val="24"/>
          <w:szCs w:val="24"/>
          <w:lang w:val="en-US" w:eastAsia="zh-CN"/>
        </w:rPr>
        <w:t>南侧，侵占、毁坏绿地。经现场测量，用长0.6米，宽0.6米的青条石铺设南北长8米，东西宽2.6米，面积约20平方米的道路便于停放车辆。</w:t>
      </w:r>
    </w:p>
    <w:p w14:paraId="04066479">
      <w:pPr>
        <w:spacing w:line="360" w:lineRule="auto"/>
        <w:ind w:firstLine="480" w:firstLineChars="200"/>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rPr>
        <w:t>你</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逾期没有进行</w:t>
      </w:r>
      <w:r>
        <w:rPr>
          <w:rFonts w:hint="eastAsia" w:ascii="仿宋" w:hAnsi="仿宋" w:eastAsia="仿宋" w:cs="仿宋"/>
          <w:color w:val="auto"/>
          <w:sz w:val="24"/>
          <w:szCs w:val="24"/>
        </w:rPr>
        <w:t>陈述、申辩</w:t>
      </w:r>
      <w:r>
        <w:rPr>
          <w:rFonts w:hint="eastAsia" w:ascii="仿宋" w:hAnsi="仿宋" w:eastAsia="仿宋" w:cs="仿宋"/>
          <w:color w:val="auto"/>
          <w:sz w:val="24"/>
          <w:szCs w:val="24"/>
          <w:lang w:val="en-US" w:eastAsia="zh-CN"/>
        </w:rPr>
        <w:t>。</w:t>
      </w:r>
    </w:p>
    <w:p w14:paraId="4806C12A">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以上事实违反了</w:t>
      </w:r>
      <w:r>
        <w:rPr>
          <w:rFonts w:hint="eastAsia" w:ascii="仿宋" w:hAnsi="仿宋" w:eastAsia="仿宋" w:cs="仿宋"/>
          <w:color w:val="auto"/>
          <w:sz w:val="24"/>
          <w:szCs w:val="24"/>
          <w:u w:val="none" w:color="auto"/>
          <w:lang w:val="en-US" w:eastAsia="zh-CN"/>
        </w:rPr>
        <w:t>《吉林省物业管理条例》第八十八条第一款第六项的规定，依据《吉林省物业管理条例》第一百二十条第一款第六项的规定，</w:t>
      </w:r>
      <w:r>
        <w:rPr>
          <w:rFonts w:hint="eastAsia" w:ascii="仿宋" w:hAnsi="仿宋" w:eastAsia="仿宋" w:cs="仿宋"/>
          <w:sz w:val="24"/>
          <w:szCs w:val="24"/>
          <w:lang w:eastAsia="zh-CN"/>
        </w:rPr>
        <w:t>鉴于当事人限期内未改正，违法行为一般</w:t>
      </w:r>
      <w:r>
        <w:rPr>
          <w:rFonts w:hint="eastAsia" w:ascii="仿宋" w:hAnsi="仿宋" w:eastAsia="仿宋" w:cs="仿宋"/>
          <w:color w:val="auto"/>
          <w:sz w:val="24"/>
          <w:szCs w:val="24"/>
          <w:lang w:eastAsia="zh-CN"/>
        </w:rPr>
        <w:t>。参照</w:t>
      </w:r>
      <w:r>
        <w:rPr>
          <w:rFonts w:hint="eastAsia" w:ascii="仿宋" w:hAnsi="仿宋" w:eastAsia="仿宋" w:cs="仿宋"/>
          <w:sz w:val="24"/>
          <w:szCs w:val="24"/>
          <w:lang w:eastAsia="zh-CN"/>
        </w:rPr>
        <w:t>吉林省住房和城乡建设</w:t>
      </w:r>
      <w:r>
        <w:rPr>
          <w:rFonts w:hint="eastAsia" w:ascii="仿宋" w:hAnsi="仿宋" w:eastAsia="仿宋" w:cs="仿宋"/>
          <w:b w:val="0"/>
          <w:bCs w:val="0"/>
          <w:i w:val="0"/>
          <w:iCs w:val="0"/>
          <w:caps w:val="0"/>
          <w:color w:val="auto"/>
          <w:spacing w:val="0"/>
          <w:kern w:val="0"/>
          <w:sz w:val="24"/>
          <w:szCs w:val="24"/>
          <w:lang w:val="en-US" w:eastAsia="zh-CN" w:bidi="ar"/>
        </w:rPr>
        <w:t>行政处罚裁量基准（2023版）——</w:t>
      </w:r>
      <w:r>
        <w:rPr>
          <w:rFonts w:hint="eastAsia" w:ascii="仿宋" w:hAnsi="仿宋" w:eastAsia="仿宋" w:cs="仿宋"/>
          <w:sz w:val="24"/>
          <w:szCs w:val="24"/>
          <w:lang w:val="en-US" w:eastAsia="zh-CN"/>
        </w:rPr>
        <w:t>《</w:t>
      </w:r>
      <w:r>
        <w:rPr>
          <w:rFonts w:hint="eastAsia" w:ascii="仿宋" w:hAnsi="仿宋" w:eastAsia="仿宋" w:cs="仿宋"/>
          <w:b w:val="0"/>
          <w:bCs w:val="0"/>
          <w:kern w:val="0"/>
          <w:sz w:val="24"/>
          <w:szCs w:val="24"/>
        </w:rPr>
        <w:t>吉林省物业管理条例</w:t>
      </w:r>
      <w:r>
        <w:rPr>
          <w:rFonts w:hint="eastAsia" w:ascii="仿宋" w:hAnsi="仿宋" w:eastAsia="仿宋" w:cs="仿宋"/>
          <w:b w:val="0"/>
          <w:bCs w:val="0"/>
          <w:sz w:val="24"/>
          <w:szCs w:val="24"/>
          <w:lang w:val="en-US" w:eastAsia="zh-CN"/>
        </w:rPr>
        <w:t>》</w:t>
      </w:r>
      <w:r>
        <w:rPr>
          <w:rFonts w:hint="eastAsia" w:ascii="仿宋" w:hAnsi="仿宋" w:eastAsia="仿宋" w:cs="仿宋"/>
          <w:sz w:val="24"/>
          <w:szCs w:val="24"/>
          <w:lang w:val="en-US" w:eastAsia="zh-CN"/>
        </w:rPr>
        <w:t>序号286的规定。</w:t>
      </w:r>
      <w:r>
        <w:rPr>
          <w:rFonts w:hint="eastAsia" w:ascii="仿宋" w:hAnsi="仿宋" w:eastAsia="仿宋" w:cs="仿宋"/>
          <w:color w:val="auto"/>
          <w:sz w:val="24"/>
          <w:szCs w:val="24"/>
          <w:u w:val="none" w:color="auto"/>
          <w:lang w:val="en-US" w:eastAsia="zh-CN"/>
        </w:rPr>
        <w:t>将</w:t>
      </w:r>
      <w:r>
        <w:rPr>
          <w:rFonts w:hint="eastAsia" w:ascii="仿宋" w:hAnsi="仿宋" w:eastAsia="仿宋" w:cs="仿宋"/>
          <w:color w:val="auto"/>
          <w:sz w:val="24"/>
          <w:szCs w:val="24"/>
          <w:u w:val="none"/>
          <w:lang w:val="en-US" w:eastAsia="zh-CN"/>
        </w:rPr>
        <w:t>侵占、毁坏绿地</w:t>
      </w:r>
      <w:r>
        <w:rPr>
          <w:rFonts w:hint="eastAsia" w:ascii="仿宋" w:hAnsi="仿宋" w:eastAsia="仿宋" w:cs="仿宋"/>
          <w:color w:val="auto"/>
          <w:kern w:val="2"/>
          <w:sz w:val="24"/>
          <w:szCs w:val="24"/>
          <w:u w:val="none"/>
          <w:lang w:val="en-US" w:eastAsia="zh-CN" w:bidi="ar-SA"/>
        </w:rPr>
        <w:t>恢复原状,</w:t>
      </w:r>
      <w:r>
        <w:rPr>
          <w:rFonts w:hint="eastAsia" w:ascii="仿宋" w:hAnsi="仿宋" w:eastAsia="仿宋" w:cs="仿宋"/>
          <w:color w:val="auto"/>
          <w:sz w:val="24"/>
          <w:szCs w:val="24"/>
          <w:u w:val="none" w:color="auto"/>
          <w:lang w:val="en-US" w:eastAsia="zh-CN"/>
        </w:rPr>
        <w:t>并</w:t>
      </w:r>
      <w:r>
        <w:rPr>
          <w:rFonts w:hint="eastAsia" w:ascii="仿宋" w:hAnsi="仿宋" w:eastAsia="仿宋" w:cs="仿宋"/>
          <w:color w:val="auto"/>
          <w:sz w:val="24"/>
          <w:szCs w:val="24"/>
        </w:rPr>
        <w:t>决定给予</w:t>
      </w:r>
      <w:r>
        <w:rPr>
          <w:rFonts w:hint="eastAsia" w:ascii="仿宋" w:hAnsi="仿宋" w:eastAsia="仿宋" w:cs="仿宋"/>
          <w:color w:val="auto"/>
          <w:sz w:val="24"/>
          <w:szCs w:val="24"/>
          <w:lang w:eastAsia="zh-CN"/>
        </w:rPr>
        <w:t>当事人</w:t>
      </w:r>
      <w:r>
        <w:rPr>
          <w:rFonts w:hint="eastAsia" w:ascii="仿宋" w:hAnsi="仿宋" w:eastAsia="仿宋" w:cs="仿宋"/>
          <w:color w:val="auto"/>
          <w:sz w:val="24"/>
          <w:szCs w:val="24"/>
          <w:u w:val="none"/>
          <w:lang w:val="en-US" w:eastAsia="zh-CN"/>
        </w:rPr>
        <w:t>李X</w:t>
      </w:r>
      <w:bookmarkStart w:id="0" w:name="_GoBack"/>
      <w:bookmarkEnd w:id="0"/>
      <w:r>
        <w:rPr>
          <w:rFonts w:hint="eastAsia" w:ascii="仿宋" w:hAnsi="仿宋" w:eastAsia="仿宋" w:cs="仿宋"/>
          <w:color w:val="auto"/>
          <w:sz w:val="24"/>
          <w:szCs w:val="24"/>
          <w:u w:val="none" w:color="auto"/>
          <w:lang w:val="en-US" w:eastAsia="zh-CN"/>
        </w:rPr>
        <w:t>作出罚款人民币一千元整的行政处罚。</w:t>
      </w:r>
      <w:r>
        <w:rPr>
          <w:rFonts w:hint="eastAsia" w:ascii="仿宋" w:hAnsi="仿宋" w:eastAsia="仿宋" w:cs="仿宋"/>
          <w:color w:val="auto"/>
          <w:sz w:val="24"/>
          <w:szCs w:val="24"/>
          <w:u w:val="none"/>
        </w:rPr>
        <w:t xml:space="preserve">                                                               </w:t>
      </w:r>
    </w:p>
    <w:p w14:paraId="14F16A00">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对以上罚款，请自收到本决定书之日起15日内缴至</w:t>
      </w:r>
      <w:r>
        <w:rPr>
          <w:rFonts w:hint="eastAsia" w:ascii="仿宋" w:hAnsi="仿宋" w:eastAsia="仿宋" w:cs="仿宋"/>
          <w:b w:val="0"/>
          <w:bCs w:val="0"/>
          <w:sz w:val="24"/>
          <w:szCs w:val="24"/>
          <w:u w:val="none"/>
          <w:lang w:val="en-US" w:eastAsia="zh-CN"/>
        </w:rPr>
        <w:t>本机关财务科开具《罚没缴款通知书》后到指定银行缴纳罚款</w:t>
      </w:r>
      <w:r>
        <w:rPr>
          <w:rFonts w:hint="eastAsia" w:ascii="仿宋" w:hAnsi="仿宋" w:eastAsia="仿宋" w:cs="仿宋"/>
          <w:b w:val="0"/>
          <w:bCs w:val="0"/>
          <w:sz w:val="24"/>
          <w:szCs w:val="24"/>
          <w:u w:val="none"/>
        </w:rPr>
        <w:t>，</w:t>
      </w:r>
      <w:r>
        <w:rPr>
          <w:rFonts w:hint="eastAsia" w:ascii="仿宋" w:hAnsi="仿宋" w:eastAsia="仿宋" w:cs="仿宋"/>
          <w:color w:val="auto"/>
          <w:sz w:val="24"/>
          <w:szCs w:val="24"/>
        </w:rPr>
        <w:t>到期不缴每日按罚款数额的3%加处罚款</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加处罚款</w:t>
      </w:r>
      <w:r>
        <w:rPr>
          <w:rFonts w:hint="eastAsia" w:ascii="仿宋" w:hAnsi="仿宋" w:eastAsia="仿宋" w:cs="仿宋"/>
          <w:color w:val="auto"/>
          <w:sz w:val="24"/>
          <w:szCs w:val="24"/>
          <w:lang w:val="en-US" w:eastAsia="zh-CN"/>
        </w:rPr>
        <w:t>的数额不得超出</w:t>
      </w:r>
      <w:r>
        <w:rPr>
          <w:rFonts w:hint="eastAsia" w:ascii="仿宋" w:hAnsi="仿宋" w:eastAsia="仿宋" w:cs="仿宋"/>
          <w:color w:val="auto"/>
          <w:sz w:val="24"/>
          <w:szCs w:val="24"/>
        </w:rPr>
        <w:t>罚款</w:t>
      </w:r>
      <w:r>
        <w:rPr>
          <w:rFonts w:hint="eastAsia" w:ascii="仿宋" w:hAnsi="仿宋" w:eastAsia="仿宋" w:cs="仿宋"/>
          <w:color w:val="auto"/>
          <w:sz w:val="24"/>
          <w:szCs w:val="24"/>
          <w:lang w:val="en-US" w:eastAsia="zh-CN"/>
        </w:rPr>
        <w:t>的数额</w:t>
      </w:r>
      <w:r>
        <w:rPr>
          <w:rFonts w:hint="eastAsia" w:ascii="仿宋" w:hAnsi="仿宋" w:eastAsia="仿宋" w:cs="仿宋"/>
          <w:color w:val="auto"/>
          <w:sz w:val="24"/>
          <w:szCs w:val="24"/>
        </w:rPr>
        <w:t>。</w:t>
      </w:r>
    </w:p>
    <w:p w14:paraId="5C7115AF">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如果不服本</w:t>
      </w:r>
      <w:r>
        <w:rPr>
          <w:rFonts w:hint="eastAsia" w:ascii="仿宋" w:hAnsi="仿宋" w:eastAsia="仿宋" w:cs="仿宋"/>
          <w:color w:val="auto"/>
          <w:sz w:val="24"/>
          <w:szCs w:val="24"/>
          <w:lang w:val="en-US" w:eastAsia="zh-CN"/>
        </w:rPr>
        <w:t>行政</w:t>
      </w:r>
      <w:r>
        <w:rPr>
          <w:rFonts w:hint="eastAsia" w:ascii="仿宋" w:hAnsi="仿宋" w:eastAsia="仿宋" w:cs="仿宋"/>
          <w:color w:val="auto"/>
          <w:sz w:val="24"/>
          <w:szCs w:val="24"/>
        </w:rPr>
        <w:t>处罚决定，可以在</w:t>
      </w:r>
      <w:r>
        <w:rPr>
          <w:rFonts w:hint="eastAsia" w:ascii="仿宋" w:hAnsi="仿宋" w:eastAsia="仿宋" w:cs="仿宋"/>
          <w:color w:val="auto"/>
          <w:sz w:val="24"/>
          <w:szCs w:val="24"/>
          <w:lang w:val="en-US" w:eastAsia="zh-CN"/>
        </w:rPr>
        <w:t>收到本行政处罚决定书之日起</w:t>
      </w:r>
      <w:r>
        <w:rPr>
          <w:rFonts w:hint="eastAsia" w:ascii="仿宋" w:hAnsi="仿宋" w:eastAsia="仿宋" w:cs="仿宋"/>
          <w:color w:val="auto"/>
          <w:sz w:val="24"/>
          <w:szCs w:val="24"/>
        </w:rPr>
        <w:t>60日内依法向</w:t>
      </w:r>
      <w:r>
        <w:rPr>
          <w:rFonts w:hint="eastAsia" w:ascii="仿宋" w:hAnsi="仿宋" w:eastAsia="仿宋" w:cs="仿宋"/>
          <w:color w:val="auto"/>
          <w:sz w:val="24"/>
          <w:szCs w:val="24"/>
          <w:lang w:eastAsia="zh-CN"/>
        </w:rPr>
        <w:t>四平市铁西区</w:t>
      </w:r>
      <w:r>
        <w:rPr>
          <w:rFonts w:hint="eastAsia" w:ascii="仿宋" w:hAnsi="仿宋" w:eastAsia="仿宋" w:cs="仿宋"/>
          <w:color w:val="auto"/>
          <w:sz w:val="24"/>
          <w:szCs w:val="24"/>
        </w:rPr>
        <w:t>人民政府申请行政复议，或者在6个月内依法向</w:t>
      </w:r>
      <w:r>
        <w:rPr>
          <w:rFonts w:hint="eastAsia" w:ascii="仿宋" w:hAnsi="仿宋" w:eastAsia="仿宋" w:cs="仿宋"/>
          <w:color w:val="auto"/>
          <w:sz w:val="24"/>
          <w:szCs w:val="24"/>
          <w:lang w:eastAsia="zh-CN"/>
        </w:rPr>
        <w:t>四平市铁西区</w:t>
      </w:r>
      <w:r>
        <w:rPr>
          <w:rFonts w:hint="eastAsia" w:ascii="仿宋" w:hAnsi="仿宋" w:eastAsia="仿宋" w:cs="仿宋"/>
          <w:color w:val="auto"/>
          <w:sz w:val="24"/>
          <w:szCs w:val="24"/>
        </w:rPr>
        <w:t>人民法院提起行政诉讼，但本决定不停止执行</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法律另有规定的除外</w:t>
      </w:r>
      <w:r>
        <w:rPr>
          <w:rFonts w:hint="eastAsia" w:ascii="仿宋" w:hAnsi="仿宋" w:eastAsia="仿宋" w:cs="仿宋"/>
          <w:color w:val="auto"/>
          <w:sz w:val="24"/>
          <w:szCs w:val="24"/>
        </w:rPr>
        <w:t>。逾期不申请行政复议、不提起行政诉讼又不履行的，</w:t>
      </w:r>
      <w:r>
        <w:rPr>
          <w:rFonts w:hint="eastAsia" w:ascii="仿宋" w:hAnsi="仿宋" w:eastAsia="仿宋" w:cs="仿宋"/>
          <w:color w:val="auto"/>
          <w:sz w:val="24"/>
          <w:szCs w:val="24"/>
          <w:lang w:val="en-US" w:eastAsia="zh-CN"/>
        </w:rPr>
        <w:t>本机关将依法申请人民法院强制执行或依照有关规定强制执行。</w:t>
      </w:r>
    </w:p>
    <w:p w14:paraId="2208CB2C">
      <w:pPr>
        <w:spacing w:line="360" w:lineRule="auto"/>
        <w:ind w:firstLine="480"/>
        <w:jc w:val="left"/>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 xml:space="preserve">四平市铁西区城市管理行政执法局将依法向社会公示本行政处罚决定信息。                </w:t>
      </w:r>
    </w:p>
    <w:p w14:paraId="61455817">
      <w:pPr>
        <w:spacing w:line="360" w:lineRule="auto"/>
        <w:ind w:firstLine="480"/>
        <w:jc w:val="left"/>
        <w:rPr>
          <w:rFonts w:hint="eastAsia" w:ascii="仿宋" w:hAnsi="仿宋" w:eastAsia="仿宋" w:cs="仿宋"/>
          <w:b w:val="0"/>
          <w:bCs w:val="0"/>
          <w:sz w:val="24"/>
          <w:szCs w:val="24"/>
          <w:u w:val="none"/>
          <w:lang w:val="en-US" w:eastAsia="zh-CN"/>
        </w:rPr>
      </w:pPr>
    </w:p>
    <w:p w14:paraId="6A177181">
      <w:pPr>
        <w:spacing w:line="360" w:lineRule="auto"/>
        <w:ind w:firstLine="4680" w:firstLineChars="1950"/>
        <w:jc w:val="left"/>
        <w:rPr>
          <w:rFonts w:hint="eastAsia" w:ascii="仿宋" w:hAnsi="仿宋" w:eastAsia="仿宋" w:cs="仿宋"/>
          <w:color w:val="auto"/>
          <w:sz w:val="24"/>
          <w:szCs w:val="24"/>
        </w:rPr>
      </w:pPr>
      <w:r>
        <w:rPr>
          <w:rFonts w:hint="eastAsia" w:ascii="仿宋" w:hAnsi="仿宋" w:eastAsia="仿宋" w:cs="仿宋"/>
          <w:b w:val="0"/>
          <w:bCs w:val="0"/>
          <w:sz w:val="24"/>
          <w:szCs w:val="24"/>
          <w:u w:val="none"/>
          <w:lang w:val="en-US" w:eastAsia="zh-CN"/>
        </w:rPr>
        <w:t>四平市铁西区城市管理行政执法局</w:t>
      </w:r>
      <w:r>
        <w:rPr>
          <w:rFonts w:hint="eastAsia" w:ascii="仿宋" w:hAnsi="仿宋" w:eastAsia="仿宋" w:cs="仿宋"/>
          <w:color w:val="auto"/>
          <w:sz w:val="24"/>
          <w:szCs w:val="24"/>
        </w:rPr>
        <w:t xml:space="preserve">                                                      </w:t>
      </w:r>
    </w:p>
    <w:p w14:paraId="64F07F8F">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                                       2025</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rPr>
        <w:t>日</w:t>
      </w:r>
    </w:p>
    <w:p w14:paraId="0889C36F">
      <w:pPr>
        <w:pStyle w:val="4"/>
        <w:spacing w:line="360" w:lineRule="auto"/>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mc:AlternateContent>
          <mc:Choice Requires="wps">
            <w:drawing>
              <wp:anchor distT="0" distB="0" distL="114300" distR="114300" simplePos="0" relativeHeight="251660288" behindDoc="0" locked="0" layoutInCell="1" allowOverlap="1">
                <wp:simplePos x="0" y="0"/>
                <wp:positionH relativeFrom="column">
                  <wp:posOffset>-27305</wp:posOffset>
                </wp:positionH>
                <wp:positionV relativeFrom="paragraph">
                  <wp:posOffset>9525</wp:posOffset>
                </wp:positionV>
                <wp:extent cx="5486400" cy="0"/>
                <wp:effectExtent l="0" t="9525" r="0" b="9525"/>
                <wp:wrapNone/>
                <wp:docPr id="20" name="直接连接符 20"/>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margin-left:-2.15pt;margin-top:0.75pt;height:0pt;width:432pt;z-index:251660288;mso-width-relative:page;mso-height-relative:page;" filled="f" stroked="t" coordsize="21600,21600" o:gfxdata="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6JJ9L0wAA&#10;AAYBAAAPAAAAAAAAAAEAIAAAACIAAABkcnMvZG93bnJldi54bWxQSwECFAAUAAAACACHTuJAsAb7&#10;FeoBAAC7AwAADgAAAAAAAAABACAAAAAiAQAAZHJzL2Uyb0RvYy54bWxQSwUGAAAAAAYABgBZAQAA&#10;fgUAAAAA&#10;">
                <v:fill on="f" focussize="0,0"/>
                <v:stroke weight="1.5pt" color="#000000" joinstyle="round"/>
                <v:imagedata o:title=""/>
                <o:lock v:ext="edit" aspectratio="f"/>
              </v:line>
            </w:pict>
          </mc:Fallback>
        </mc:AlternateContent>
      </w:r>
      <w:r>
        <w:rPr>
          <w:rFonts w:hint="eastAsia" w:ascii="仿宋" w:hAnsi="仿宋" w:eastAsia="仿宋" w:cs="仿宋"/>
          <w:color w:val="auto"/>
          <w:sz w:val="24"/>
          <w:szCs w:val="24"/>
        </w:rPr>
        <w:t>本文书一式两份：一份由执法机关备案，一份送达被处罚当事人。</w:t>
      </w:r>
    </w:p>
    <w:p w14:paraId="1A3873B3">
      <w:pPr>
        <w:spacing w:line="360" w:lineRule="auto"/>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20D9C"/>
    <w:rsid w:val="44620D9C"/>
    <w:rsid w:val="6AE31F0A"/>
    <w:rsid w:val="73D06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line="590" w:lineRule="exact"/>
      <w:jc w:val="both"/>
    </w:pPr>
    <w:rPr>
      <w:rFonts w:ascii="Times New Roman" w:hAnsi="Times New Roman" w:eastAsia="方正仿宋_GB2312"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正文-公1"/>
    <w:basedOn w:val="5"/>
    <w:next w:val="1"/>
    <w:qFormat/>
    <w:uiPriority w:val="0"/>
    <w:pPr>
      <w:ind w:firstLine="200" w:firstLineChars="200"/>
    </w:pPr>
  </w:style>
  <w:style w:type="paragraph" w:customStyle="1" w:styleId="5">
    <w:name w:val="正文 New New New"/>
    <w:next w:val="4"/>
    <w:qFormat/>
    <w:uiPriority w:val="0"/>
    <w:pPr>
      <w:jc w:val="both"/>
    </w:pPr>
    <w:rPr>
      <w:rFonts w:ascii="Calibri" w:hAnsi="Calibri" w:eastAsia="Malgun Gothic" w:cs="Calibri"/>
      <w:sz w:val="21"/>
      <w:szCs w:val="21"/>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7512</Words>
  <Characters>8386</Characters>
  <Lines>0</Lines>
  <Paragraphs>0</Paragraphs>
  <TotalTime>10</TotalTime>
  <ScaleCrop>false</ScaleCrop>
  <LinksUpToDate>false</LinksUpToDate>
  <CharactersWithSpaces>11011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2025-08-18T02:29:00Z</dcterms:created>
  <dc:creator>你好</dc:creator>
  <cp:lastModifiedBy>Administrator</cp:lastModifiedBy>
  <cp:lastPrinted>2025-08-18T06:55:57Z</cp:lastPrinted>
  <dcterms:modified xsi:type="dcterms:W3CDTF">2025-08-18T06:56:03Z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71465B4CA4464F34B2A1456F76EBE585_13</vt:lpwstr>
  </property>
  <property fmtid="{D5CDD505-2E9C-101B-9397-08002B2CF9AE}" pid="4" name="KSOTemplateDocerSaveRecord">
    <vt:lpwstr>eyJoZGlkIjoiNmRiYWZiY2QxZWE2YTYwM2U1NWNmNzRmOGI1MjQ5ZWQifQ==</vt:lpwstr>
  </property>
</Properties>
</file>