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5497C">
      <w:pPr>
        <w:spacing w:line="240" w:lineRule="auto"/>
        <w:jc w:val="center"/>
        <w:rPr>
          <w:rFonts w:hint="eastAsia" w:ascii="仿宋_GB2312" w:hAnsi="仿宋" w:cs="仿宋"/>
          <w:sz w:val="48"/>
          <w:szCs w:val="48"/>
        </w:rPr>
      </w:pPr>
      <w:r>
        <w:rPr>
          <w:rFonts w:hint="eastAsia" w:ascii="宋体" w:hAnsi="宋体" w:eastAsia="宋体" w:cs="宋体"/>
          <w:b/>
          <w:bCs/>
          <w:sz w:val="48"/>
          <w:szCs w:val="48"/>
          <w:lang w:val="en-US" w:eastAsia="zh-CN"/>
        </w:rPr>
        <w:t>四平市铁西区城市管理行政执法局</w:t>
      </w:r>
    </w:p>
    <w:p w14:paraId="391F7B88">
      <w:pPr>
        <w:spacing w:line="600" w:lineRule="exact"/>
        <w:jc w:val="center"/>
        <w:rPr>
          <w:rFonts w:ascii="华文中宋" w:hAnsi="华文中宋" w:eastAsia="华文中宋" w:cs="黑体"/>
          <w:b/>
          <w:color w:val="auto"/>
          <w:sz w:val="44"/>
          <w:szCs w:val="44"/>
        </w:rPr>
      </w:pPr>
      <w:r>
        <w:rPr>
          <w:color w:val="auto"/>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60" name="直接连接符 60"/>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3&#10;sd/NAAAAAgEAAA8AAAAAAAAAAQAgAAAAIgAAAGRycy9kb3ducmV2LnhtbFBLAQIUABQAAAAIAIdO&#10;4kBfQPEk9QEAANADAAAOAAAAAAAAAAEAIAAAABwBAABkcnMvZTJvRG9jLnhtbFBLBQYAAAAABgAG&#10;AFkBAACD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44"/>
          <w:szCs w:val="44"/>
        </w:rPr>
        <w:t>行政处罚决定书</w:t>
      </w:r>
    </w:p>
    <w:p w14:paraId="1C437E2D">
      <w:pPr>
        <w:spacing w:line="600" w:lineRule="exact"/>
        <w:jc w:val="center"/>
        <w:rPr>
          <w:rFonts w:ascii="仿宋_GB2312" w:hAnsi="仿宋"/>
          <w:color w:val="auto"/>
          <w:sz w:val="32"/>
          <w:szCs w:val="32"/>
        </w:rPr>
      </w:pPr>
      <w:r>
        <w:rPr>
          <w:rFonts w:hint="eastAsia" w:ascii="仿宋_GB2312" w:hAnsi="仿宋"/>
          <w:color w:val="auto"/>
          <w:sz w:val="32"/>
          <w:szCs w:val="32"/>
          <w:lang w:val="en-US" w:eastAsia="zh-CN"/>
        </w:rPr>
        <w:t>四西城</w:t>
      </w:r>
      <w:r>
        <w:rPr>
          <w:rFonts w:hint="eastAsia" w:ascii="仿宋_GB2312" w:hAnsi="仿宋"/>
          <w:color w:val="auto"/>
          <w:sz w:val="32"/>
          <w:szCs w:val="32"/>
          <w:lang w:eastAsia="zh-CN"/>
        </w:rPr>
        <w:t>处</w:t>
      </w:r>
      <w:r>
        <w:rPr>
          <w:rFonts w:hint="eastAsia" w:ascii="仿宋_GB2312" w:hAnsi="仿宋"/>
          <w:color w:val="auto"/>
          <w:sz w:val="32"/>
          <w:szCs w:val="32"/>
        </w:rPr>
        <w:t>罚</w:t>
      </w:r>
      <w:r>
        <w:rPr>
          <w:rFonts w:hint="eastAsia" w:ascii="仿宋_GB2312" w:hAnsi="仿宋"/>
          <w:color w:val="auto"/>
          <w:sz w:val="32"/>
          <w:szCs w:val="32"/>
          <w:lang w:eastAsia="zh-CN"/>
        </w:rPr>
        <w:t>决</w:t>
      </w:r>
      <w:r>
        <w:rPr>
          <w:rFonts w:hint="eastAsia" w:ascii="仿宋_GB2312" w:hAnsi="仿宋"/>
          <w:color w:val="auto"/>
          <w:sz w:val="32"/>
          <w:szCs w:val="32"/>
        </w:rPr>
        <w:t>〔</w:t>
      </w:r>
      <w:r>
        <w:rPr>
          <w:rFonts w:hint="eastAsia" w:ascii="仿宋_GB2312" w:hAnsi="仿宋"/>
          <w:color w:val="auto"/>
          <w:sz w:val="32"/>
          <w:szCs w:val="32"/>
          <w:lang w:val="en-US" w:eastAsia="zh-CN"/>
        </w:rPr>
        <w:t>2025</w:t>
      </w:r>
      <w:r>
        <w:rPr>
          <w:rFonts w:hint="eastAsia" w:ascii="仿宋_GB2312" w:hAnsi="仿宋"/>
          <w:color w:val="auto"/>
          <w:sz w:val="32"/>
          <w:szCs w:val="32"/>
        </w:rPr>
        <w:t>〕</w:t>
      </w:r>
      <w:r>
        <w:rPr>
          <w:rFonts w:hint="eastAsia" w:ascii="仿宋_GB2312" w:hAnsi="仿宋"/>
          <w:color w:val="auto"/>
          <w:sz w:val="32"/>
          <w:szCs w:val="32"/>
          <w:lang w:val="en-US" w:eastAsia="zh-CN"/>
        </w:rPr>
        <w:t>S016</w:t>
      </w:r>
      <w:r>
        <w:rPr>
          <w:rFonts w:hint="eastAsia" w:ascii="仿宋_GB2312" w:hAnsi="仿宋"/>
          <w:color w:val="auto"/>
          <w:sz w:val="32"/>
          <w:szCs w:val="32"/>
        </w:rPr>
        <w:t>号</w:t>
      </w:r>
    </w:p>
    <w:p w14:paraId="5E93C6B9">
      <w:pPr>
        <w:spacing w:line="440" w:lineRule="exact"/>
        <w:rPr>
          <w:rFonts w:hint="eastAsia" w:ascii="仿宋" w:hAnsi="仿宋" w:eastAsia="仿宋" w:cs="仿宋"/>
          <w:color w:val="auto"/>
          <w:sz w:val="24"/>
          <w:szCs w:val="24"/>
          <w:u w:val="none"/>
        </w:rPr>
      </w:pPr>
      <w:r>
        <w:rPr>
          <w:rFonts w:hint="eastAsia" w:ascii="仿宋" w:hAnsi="仿宋" w:eastAsia="仿宋" w:cs="仿宋"/>
          <w:color w:val="auto"/>
          <w:sz w:val="24"/>
          <w:szCs w:val="24"/>
        </w:rPr>
        <w:t>当事人姓名：</w:t>
      </w:r>
      <w:r>
        <w:rPr>
          <w:rFonts w:hint="eastAsia" w:ascii="仿宋" w:hAnsi="仿宋" w:eastAsia="仿宋" w:cs="仿宋"/>
          <w:color w:val="auto"/>
          <w:sz w:val="24"/>
          <w:szCs w:val="24"/>
          <w:lang w:val="en-US" w:eastAsia="zh-CN"/>
        </w:rPr>
        <w:t>张X</w:t>
      </w:r>
      <w:r>
        <w:rPr>
          <w:rFonts w:hint="eastAsia" w:ascii="仿宋" w:hAnsi="仿宋" w:eastAsia="仿宋" w:cs="仿宋"/>
          <w:color w:val="auto"/>
          <w:sz w:val="24"/>
          <w:szCs w:val="24"/>
          <w:u w:val="none"/>
        </w:rPr>
        <w:t xml:space="preserve">       </w:t>
      </w:r>
    </w:p>
    <w:p w14:paraId="49CCFE85">
      <w:pPr>
        <w:spacing w:line="440" w:lineRule="exact"/>
        <w:rPr>
          <w:rFonts w:hint="eastAsia" w:ascii="仿宋" w:hAnsi="仿宋" w:eastAsia="仿宋" w:cs="仿宋"/>
          <w:color w:val="auto"/>
          <w:sz w:val="24"/>
          <w:szCs w:val="24"/>
          <w:u w:val="none"/>
        </w:rPr>
      </w:pPr>
      <w:r>
        <w:rPr>
          <w:rFonts w:hint="eastAsia" w:ascii="仿宋" w:hAnsi="仿宋" w:eastAsia="仿宋" w:cs="仿宋"/>
          <w:sz w:val="24"/>
          <w:szCs w:val="24"/>
        </w:rPr>
        <w:t>电话：</w:t>
      </w:r>
      <w:r>
        <w:rPr>
          <w:rFonts w:hint="eastAsia" w:ascii="仿宋" w:hAnsi="仿宋" w:eastAsia="仿宋" w:cs="仿宋"/>
          <w:sz w:val="24"/>
          <w:szCs w:val="24"/>
          <w:lang w:val="en-US" w:eastAsia="zh-CN"/>
        </w:rPr>
        <w:t>134XXXX8888</w:t>
      </w:r>
      <w:r>
        <w:rPr>
          <w:rFonts w:hint="eastAsia" w:ascii="仿宋" w:hAnsi="仿宋" w:eastAsia="仿宋" w:cs="仿宋"/>
          <w:sz w:val="24"/>
          <w:szCs w:val="24"/>
        </w:rPr>
        <w:t xml:space="preserve"> </w:t>
      </w:r>
    </w:p>
    <w:p w14:paraId="35B73CF9">
      <w:pPr>
        <w:spacing w:line="440" w:lineRule="exact"/>
        <w:rPr>
          <w:rFonts w:hint="eastAsia" w:ascii="仿宋" w:hAnsi="仿宋" w:eastAsia="仿宋" w:cs="仿宋"/>
          <w:color w:val="auto"/>
          <w:sz w:val="24"/>
          <w:szCs w:val="24"/>
          <w:u w:val="none"/>
        </w:rPr>
      </w:pPr>
      <w:r>
        <w:rPr>
          <w:rFonts w:hint="eastAsia" w:ascii="仿宋" w:hAnsi="仿宋" w:eastAsia="仿宋" w:cs="仿宋"/>
          <w:sz w:val="24"/>
          <w:szCs w:val="24"/>
        </w:rPr>
        <w:t>身份证号：</w:t>
      </w:r>
      <w:r>
        <w:rPr>
          <w:rFonts w:hint="eastAsia" w:ascii="仿宋" w:hAnsi="仿宋" w:eastAsia="仿宋" w:cs="仿宋"/>
          <w:sz w:val="24"/>
          <w:szCs w:val="24"/>
          <w:lang w:val="en-US" w:eastAsia="zh-CN"/>
        </w:rPr>
        <w:t xml:space="preserve">XXXXXXXXXXX  </w:t>
      </w:r>
      <w:r>
        <w:rPr>
          <w:rFonts w:hint="eastAsia" w:ascii="仿宋" w:hAnsi="仿宋" w:eastAsia="仿宋" w:cs="仿宋"/>
          <w:sz w:val="24"/>
          <w:szCs w:val="24"/>
        </w:rPr>
        <w:t xml:space="preserve">   </w:t>
      </w:r>
      <w:r>
        <w:rPr>
          <w:rFonts w:hint="eastAsia" w:ascii="仿宋" w:hAnsi="仿宋" w:eastAsia="仿宋" w:cs="仿宋"/>
          <w:color w:val="auto"/>
          <w:sz w:val="24"/>
          <w:szCs w:val="24"/>
          <w:u w:val="none"/>
        </w:rPr>
        <w:t xml:space="preserve">                         </w:t>
      </w:r>
    </w:p>
    <w:p w14:paraId="38FD681C">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sz w:val="24"/>
          <w:szCs w:val="24"/>
          <w:lang w:val="en-US" w:eastAsia="zh-CN"/>
        </w:rPr>
        <w:t>四平市铁西区XXXX</w:t>
      </w:r>
      <w:bookmarkStart w:id="0" w:name="_GoBack"/>
      <w:bookmarkEnd w:id="0"/>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p>
    <w:p w14:paraId="08C379F2">
      <w:pPr>
        <w:spacing w:line="440" w:lineRule="exact"/>
        <w:ind w:firstLine="480" w:firstLine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rPr>
        <w:t>违法事实及证据：</w:t>
      </w:r>
      <w:r>
        <w:rPr>
          <w:rFonts w:hint="eastAsia" w:ascii="仿宋" w:hAnsi="仿宋" w:eastAsia="仿宋" w:cs="仿宋"/>
          <w:color w:val="auto"/>
          <w:sz w:val="24"/>
          <w:szCs w:val="24"/>
          <w:lang w:eastAsia="zh-CN"/>
        </w:rPr>
        <w:t>你</w:t>
      </w:r>
      <w:r>
        <w:rPr>
          <w:rFonts w:hint="eastAsia" w:ascii="仿宋" w:hAnsi="仿宋" w:eastAsia="仿宋" w:cs="仿宋"/>
          <w:color w:val="auto"/>
          <w:sz w:val="24"/>
          <w:szCs w:val="24"/>
          <w:u w:val="none"/>
          <w:lang w:val="en-US" w:eastAsia="zh-CN"/>
        </w:rPr>
        <w:t>在四平市铁西XXX</w:t>
      </w:r>
      <w:r>
        <w:rPr>
          <w:rFonts w:hint="eastAsia" w:ascii="仿宋" w:hAnsi="仿宋" w:eastAsia="仿宋" w:cs="仿宋"/>
          <w:color w:val="auto"/>
          <w:sz w:val="24"/>
          <w:szCs w:val="24"/>
          <w:highlight w:val="none"/>
          <w:u w:val="none"/>
          <w:lang w:val="en-US" w:eastAsia="zh-CN"/>
        </w:rPr>
        <w:t>楼道墙体上胶贴小广告（电话号码134XXXX8888招生）</w:t>
      </w:r>
      <w:r>
        <w:rPr>
          <w:rFonts w:hint="eastAsia" w:ascii="仿宋" w:hAnsi="仿宋" w:eastAsia="仿宋" w:cs="仿宋"/>
          <w:color w:val="auto"/>
          <w:sz w:val="24"/>
          <w:szCs w:val="24"/>
          <w:u w:val="none"/>
          <w:lang w:val="en-US" w:eastAsia="zh-CN"/>
        </w:rPr>
        <w:t>，以上事实有《影像资料》、《现场检查笔录》、《询问笔录》等为证。</w:t>
      </w:r>
    </w:p>
    <w:p w14:paraId="7DE5A5B5">
      <w:pPr>
        <w:spacing w:line="400" w:lineRule="exact"/>
        <w:ind w:firstLine="480" w:firstLine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rPr>
        <w:t>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逾期没有进行</w:t>
      </w:r>
      <w:r>
        <w:rPr>
          <w:rFonts w:hint="eastAsia" w:ascii="仿宋" w:hAnsi="仿宋" w:eastAsia="仿宋" w:cs="仿宋"/>
          <w:color w:val="auto"/>
          <w:sz w:val="24"/>
          <w:szCs w:val="24"/>
        </w:rPr>
        <w:t>陈述、申辩</w:t>
      </w:r>
      <w:r>
        <w:rPr>
          <w:rFonts w:hint="eastAsia" w:ascii="仿宋" w:hAnsi="仿宋" w:eastAsia="仿宋" w:cs="仿宋"/>
          <w:color w:val="auto"/>
          <w:sz w:val="24"/>
          <w:szCs w:val="24"/>
          <w:lang w:val="en-US" w:eastAsia="zh-CN"/>
        </w:rPr>
        <w:t>。</w:t>
      </w:r>
    </w:p>
    <w:p w14:paraId="4637D9D2">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rPr>
        <w:t>以上事实违反了</w:t>
      </w:r>
      <w:r>
        <w:rPr>
          <w:rFonts w:hint="eastAsia" w:ascii="仿宋" w:hAnsi="仿宋" w:eastAsia="仿宋" w:cs="仿宋"/>
          <w:sz w:val="24"/>
          <w:szCs w:val="24"/>
          <w:lang w:val="en-US" w:eastAsia="zh-CN"/>
        </w:rPr>
        <w:t>《四平市小广告发布管理规定》第六条</w:t>
      </w:r>
      <w:r>
        <w:rPr>
          <w:rFonts w:hint="eastAsia" w:ascii="仿宋" w:hAnsi="仿宋" w:eastAsia="仿宋" w:cs="仿宋"/>
          <w:color w:val="auto"/>
          <w:sz w:val="24"/>
          <w:szCs w:val="24"/>
        </w:rPr>
        <w:t>的规定，依据</w:t>
      </w:r>
      <w:r>
        <w:rPr>
          <w:rFonts w:hint="eastAsia" w:ascii="仿宋" w:hAnsi="仿宋" w:eastAsia="仿宋" w:cs="仿宋"/>
          <w:sz w:val="24"/>
          <w:szCs w:val="24"/>
          <w:lang w:val="en-US" w:eastAsia="zh-CN"/>
        </w:rPr>
        <w:t>《四平</w:t>
      </w:r>
      <w:r>
        <w:rPr>
          <w:rFonts w:hint="eastAsia" w:ascii="仿宋" w:hAnsi="仿宋" w:eastAsia="仿宋" w:cs="仿宋"/>
          <w:sz w:val="24"/>
          <w:szCs w:val="24"/>
          <w:highlight w:val="none"/>
          <w:lang w:val="en-US" w:eastAsia="zh-CN"/>
        </w:rPr>
        <w:t>市小广告发布管理规定》第七条的规定</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lang w:eastAsia="zh-CN"/>
        </w:rPr>
        <w:t>鉴于当事人</w:t>
      </w:r>
      <w:r>
        <w:rPr>
          <w:rFonts w:hint="eastAsia" w:ascii="仿宋" w:hAnsi="仿宋" w:eastAsia="仿宋" w:cs="仿宋"/>
          <w:color w:val="auto"/>
          <w:sz w:val="24"/>
          <w:szCs w:val="24"/>
          <w:lang w:val="en-US" w:eastAsia="zh-CN"/>
        </w:rPr>
        <w:t>张X</w:t>
      </w:r>
      <w:r>
        <w:rPr>
          <w:rFonts w:hint="eastAsia" w:ascii="仿宋" w:hAnsi="仿宋" w:eastAsia="仿宋" w:cs="仿宋"/>
          <w:sz w:val="24"/>
          <w:szCs w:val="24"/>
          <w:highlight w:val="none"/>
          <w:lang w:val="en-US" w:eastAsia="zh-CN"/>
        </w:rPr>
        <w:t>采取</w:t>
      </w:r>
      <w:r>
        <w:rPr>
          <w:rFonts w:hint="eastAsia" w:ascii="仿宋" w:hAnsi="仿宋" w:eastAsia="仿宋" w:cs="仿宋"/>
          <w:color w:val="auto"/>
          <w:sz w:val="24"/>
          <w:szCs w:val="24"/>
          <w:highlight w:val="none"/>
          <w:lang w:val="en-US" w:eastAsia="zh-CN"/>
        </w:rPr>
        <w:t>胶贴</w:t>
      </w:r>
      <w:r>
        <w:rPr>
          <w:rFonts w:hint="eastAsia" w:ascii="仿宋" w:hAnsi="仿宋" w:eastAsia="仿宋" w:cs="仿宋"/>
          <w:sz w:val="24"/>
          <w:szCs w:val="24"/>
          <w:highlight w:val="none"/>
          <w:lang w:val="en-US" w:eastAsia="zh-CN"/>
        </w:rPr>
        <w:t>方式发布小广告的</w:t>
      </w:r>
      <w:r>
        <w:rPr>
          <w:rFonts w:hint="eastAsia" w:ascii="仿宋" w:hAnsi="仿宋" w:eastAsia="仿宋" w:cs="仿宋"/>
          <w:sz w:val="24"/>
          <w:szCs w:val="24"/>
          <w:highlight w:val="none"/>
        </w:rPr>
        <w:t>数量</w:t>
      </w:r>
      <w:r>
        <w:rPr>
          <w:rFonts w:hint="eastAsia" w:ascii="仿宋" w:hAnsi="仿宋" w:eastAsia="仿宋" w:cs="仿宋"/>
          <w:sz w:val="24"/>
          <w:szCs w:val="24"/>
          <w:highlight w:val="none"/>
          <w:lang w:val="en-US" w:eastAsia="zh-CN"/>
        </w:rPr>
        <w:t>大约40多</w:t>
      </w:r>
      <w:r>
        <w:rPr>
          <w:rFonts w:hint="eastAsia" w:ascii="仿宋" w:hAnsi="仿宋" w:eastAsia="仿宋" w:cs="仿宋"/>
          <w:sz w:val="24"/>
          <w:szCs w:val="24"/>
          <w:highlight w:val="none"/>
        </w:rPr>
        <w:t>处</w:t>
      </w:r>
      <w:r>
        <w:rPr>
          <w:rFonts w:hint="eastAsia" w:ascii="仿宋" w:hAnsi="仿宋" w:eastAsia="仿宋" w:cs="仿宋"/>
          <w:color w:val="auto"/>
          <w:sz w:val="24"/>
          <w:szCs w:val="24"/>
          <w:highlight w:val="none"/>
          <w:lang w:eastAsia="zh-CN"/>
        </w:rPr>
        <w:t>的违法行为。参照</w:t>
      </w:r>
      <w:r>
        <w:rPr>
          <w:rFonts w:hint="eastAsia" w:ascii="仿宋" w:hAnsi="仿宋" w:eastAsia="仿宋" w:cs="仿宋"/>
          <w:b w:val="0"/>
          <w:bCs w:val="0"/>
          <w:i w:val="0"/>
          <w:iCs w:val="0"/>
          <w:caps w:val="0"/>
          <w:color w:val="auto"/>
          <w:spacing w:val="0"/>
          <w:kern w:val="0"/>
          <w:sz w:val="24"/>
          <w:szCs w:val="24"/>
          <w:highlight w:val="none"/>
          <w:lang w:val="en-US" w:eastAsia="zh-CN" w:bidi="ar"/>
        </w:rPr>
        <w:t>四平市城市管理行政执法系统行政处罚裁量基准（2024版）——</w:t>
      </w:r>
      <w:r>
        <w:rPr>
          <w:rFonts w:hint="eastAsia" w:ascii="仿宋" w:hAnsi="仿宋" w:eastAsia="仿宋" w:cs="仿宋"/>
          <w:sz w:val="24"/>
          <w:szCs w:val="24"/>
          <w:highlight w:val="none"/>
          <w:lang w:val="en-US" w:eastAsia="zh-CN"/>
        </w:rPr>
        <w:t>《四平市小广告发布管理规定》序号1的规定。</w:t>
      </w:r>
      <w:r>
        <w:rPr>
          <w:rFonts w:hint="eastAsia" w:ascii="仿宋" w:hAnsi="仿宋" w:eastAsia="仿宋" w:cs="仿宋"/>
          <w:color w:val="auto"/>
          <w:sz w:val="24"/>
          <w:szCs w:val="24"/>
          <w:highlight w:val="none"/>
        </w:rPr>
        <w:t>决定给予</w:t>
      </w:r>
      <w:r>
        <w:rPr>
          <w:rFonts w:hint="eastAsia" w:ascii="仿宋" w:hAnsi="仿宋" w:eastAsia="仿宋" w:cs="仿宋"/>
          <w:color w:val="auto"/>
          <w:sz w:val="24"/>
          <w:szCs w:val="24"/>
          <w:lang w:val="en-US" w:eastAsia="zh-CN"/>
        </w:rPr>
        <w:t>张X</w:t>
      </w:r>
      <w:r>
        <w:rPr>
          <w:rFonts w:hint="eastAsia" w:ascii="仿宋" w:hAnsi="仿宋" w:eastAsia="仿宋" w:cs="仿宋"/>
          <w:sz w:val="24"/>
          <w:szCs w:val="24"/>
          <w:highlight w:val="none"/>
          <w:u w:val="none" w:color="auto"/>
          <w:shd w:val="clear" w:color="auto" w:fill="auto"/>
          <w:lang w:eastAsia="zh-CN"/>
        </w:rPr>
        <w:t>人民币</w:t>
      </w:r>
      <w:r>
        <w:rPr>
          <w:rFonts w:hint="eastAsia" w:ascii="仿宋" w:hAnsi="仿宋" w:eastAsia="仿宋" w:cs="仿宋"/>
          <w:sz w:val="24"/>
          <w:szCs w:val="24"/>
          <w:highlight w:val="none"/>
          <w:u w:val="none" w:color="auto"/>
          <w:shd w:val="clear" w:color="auto" w:fill="auto"/>
          <w:lang w:val="en-US" w:eastAsia="zh-CN"/>
        </w:rPr>
        <w:t>二千</w:t>
      </w:r>
      <w:r>
        <w:rPr>
          <w:rFonts w:hint="eastAsia" w:ascii="仿宋" w:hAnsi="仿宋" w:eastAsia="仿宋" w:cs="仿宋"/>
          <w:sz w:val="24"/>
          <w:szCs w:val="24"/>
          <w:highlight w:val="none"/>
          <w:u w:val="none" w:color="auto"/>
          <w:shd w:val="clear" w:color="auto" w:fill="auto"/>
          <w:lang w:eastAsia="zh-CN"/>
        </w:rPr>
        <w:t>元整</w:t>
      </w:r>
      <w:r>
        <w:rPr>
          <w:rFonts w:hint="eastAsia" w:ascii="仿宋" w:hAnsi="仿宋" w:eastAsia="仿宋" w:cs="仿宋"/>
          <w:sz w:val="24"/>
          <w:szCs w:val="24"/>
          <w:highlight w:val="none"/>
          <w:u w:val="none" w:color="auto"/>
          <w:shd w:val="clear" w:color="auto" w:fill="auto"/>
        </w:rPr>
        <w:t>的行政处罚。</w:t>
      </w:r>
    </w:p>
    <w:p w14:paraId="3A765606">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highlight w:val="none"/>
        </w:rPr>
        <w:t>对以上罚款，请自收到本决定书之日起15</w:t>
      </w:r>
      <w:r>
        <w:rPr>
          <w:rFonts w:hint="eastAsia" w:ascii="仿宋" w:hAnsi="仿宋" w:eastAsia="仿宋" w:cs="仿宋"/>
          <w:color w:val="auto"/>
          <w:sz w:val="24"/>
          <w:szCs w:val="24"/>
        </w:rPr>
        <w:t>日内缴至</w:t>
      </w:r>
      <w:r>
        <w:rPr>
          <w:rFonts w:hint="eastAsia" w:ascii="仿宋" w:hAnsi="仿宋" w:eastAsia="仿宋" w:cs="仿宋"/>
          <w:b w:val="0"/>
          <w:bCs w:val="0"/>
          <w:sz w:val="24"/>
          <w:szCs w:val="24"/>
          <w:u w:val="none"/>
          <w:lang w:val="en-US" w:eastAsia="zh-CN"/>
        </w:rPr>
        <w:t>本机关财务科开具《罚没缴款通知书》后到指定银行缴纳罚款</w:t>
      </w:r>
      <w:r>
        <w:rPr>
          <w:rFonts w:hint="eastAsia" w:ascii="仿宋" w:hAnsi="仿宋" w:eastAsia="仿宋" w:cs="仿宋"/>
          <w:b w:val="0"/>
          <w:bCs w:val="0"/>
          <w:sz w:val="24"/>
          <w:szCs w:val="24"/>
          <w:u w:val="none"/>
        </w:rPr>
        <w:t>，</w:t>
      </w:r>
      <w:r>
        <w:rPr>
          <w:rFonts w:hint="eastAsia" w:ascii="仿宋" w:hAnsi="仿宋" w:eastAsia="仿宋" w:cs="仿宋"/>
          <w:color w:val="auto"/>
          <w:sz w:val="24"/>
          <w:szCs w:val="24"/>
        </w:rPr>
        <w:t>到期不缴每日按罚款数额的3%加处罚款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加处罚款</w:t>
      </w:r>
      <w:r>
        <w:rPr>
          <w:rFonts w:hint="eastAsia" w:ascii="仿宋" w:hAnsi="仿宋" w:eastAsia="仿宋" w:cs="仿宋"/>
          <w:color w:val="auto"/>
          <w:sz w:val="24"/>
          <w:szCs w:val="24"/>
          <w:lang w:val="en-US" w:eastAsia="zh-CN"/>
        </w:rPr>
        <w:t>的数额不得超出</w:t>
      </w:r>
      <w:r>
        <w:rPr>
          <w:rFonts w:hint="eastAsia" w:ascii="仿宋" w:hAnsi="仿宋" w:eastAsia="仿宋" w:cs="仿宋"/>
          <w:color w:val="auto"/>
          <w:sz w:val="24"/>
          <w:szCs w:val="24"/>
        </w:rPr>
        <w:t>罚款</w:t>
      </w:r>
      <w:r>
        <w:rPr>
          <w:rFonts w:hint="eastAsia" w:ascii="仿宋" w:hAnsi="仿宋" w:eastAsia="仿宋" w:cs="仿宋"/>
          <w:color w:val="auto"/>
          <w:sz w:val="24"/>
          <w:szCs w:val="24"/>
          <w:lang w:val="en-US" w:eastAsia="zh-CN"/>
        </w:rPr>
        <w:t>的数额</w:t>
      </w:r>
      <w:r>
        <w:rPr>
          <w:rFonts w:hint="eastAsia" w:ascii="仿宋" w:hAnsi="仿宋" w:eastAsia="仿宋" w:cs="仿宋"/>
          <w:color w:val="auto"/>
          <w:sz w:val="24"/>
          <w:szCs w:val="24"/>
        </w:rPr>
        <w:t>。</w:t>
      </w:r>
    </w:p>
    <w:p w14:paraId="5ACB2BED">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如果不服本</w:t>
      </w:r>
      <w:r>
        <w:rPr>
          <w:rFonts w:hint="eastAsia" w:ascii="仿宋" w:hAnsi="仿宋" w:eastAsia="仿宋" w:cs="仿宋"/>
          <w:color w:val="auto"/>
          <w:sz w:val="24"/>
          <w:szCs w:val="24"/>
          <w:lang w:val="en-US" w:eastAsia="zh-CN"/>
        </w:rPr>
        <w:t>行政</w:t>
      </w:r>
      <w:r>
        <w:rPr>
          <w:rFonts w:hint="eastAsia" w:ascii="仿宋" w:hAnsi="仿宋" w:eastAsia="仿宋" w:cs="仿宋"/>
          <w:color w:val="auto"/>
          <w:sz w:val="24"/>
          <w:szCs w:val="24"/>
        </w:rPr>
        <w:t>处罚决定，可以在</w:t>
      </w:r>
      <w:r>
        <w:rPr>
          <w:rFonts w:hint="eastAsia" w:ascii="仿宋" w:hAnsi="仿宋" w:eastAsia="仿宋" w:cs="仿宋"/>
          <w:color w:val="auto"/>
          <w:sz w:val="24"/>
          <w:szCs w:val="24"/>
          <w:lang w:val="en-US" w:eastAsia="zh-CN"/>
        </w:rPr>
        <w:t>收到本行政处罚决定书之日起</w:t>
      </w:r>
      <w:r>
        <w:rPr>
          <w:rFonts w:hint="eastAsia" w:ascii="仿宋" w:hAnsi="仿宋" w:eastAsia="仿宋" w:cs="仿宋"/>
          <w:color w:val="auto"/>
          <w:sz w:val="24"/>
          <w:szCs w:val="24"/>
        </w:rPr>
        <w:t>60日内依法向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人民政府申请行政复议，或者在6个月内依法向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人民法院提起行政诉讼，但本决定不停止执行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法律另有规定的除外</w:t>
      </w:r>
      <w:r>
        <w:rPr>
          <w:rFonts w:hint="eastAsia" w:ascii="仿宋" w:hAnsi="仿宋" w:eastAsia="仿宋" w:cs="仿宋"/>
          <w:color w:val="auto"/>
          <w:sz w:val="24"/>
          <w:szCs w:val="24"/>
        </w:rPr>
        <w:t>。逾期不申请行政复议、不提起行政诉讼又不履行的，</w:t>
      </w:r>
      <w:r>
        <w:rPr>
          <w:rFonts w:hint="eastAsia" w:ascii="仿宋" w:hAnsi="仿宋" w:eastAsia="仿宋" w:cs="仿宋"/>
          <w:color w:val="auto"/>
          <w:sz w:val="24"/>
          <w:szCs w:val="24"/>
          <w:lang w:val="en-US" w:eastAsia="zh-CN"/>
        </w:rPr>
        <w:t>本机关将依法申请人民法院强制执行或依照有关规定强制执行。</w:t>
      </w:r>
    </w:p>
    <w:p w14:paraId="3ECB92C8">
      <w:pPr>
        <w:spacing w:line="560" w:lineRule="exact"/>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    四平市铁西区城市管理行政执法局将依法向社会公示本行政处罚决定信息。</w:t>
      </w:r>
    </w:p>
    <w:p w14:paraId="584A8F10">
      <w:pPr>
        <w:spacing w:line="560" w:lineRule="exact"/>
        <w:jc w:val="both"/>
        <w:rPr>
          <w:rFonts w:hint="eastAsia" w:ascii="仿宋" w:hAnsi="仿宋" w:eastAsia="仿宋" w:cs="仿宋"/>
          <w:b w:val="0"/>
          <w:bCs w:val="0"/>
          <w:sz w:val="24"/>
          <w:szCs w:val="24"/>
          <w:u w:val="none"/>
          <w:lang w:val="en-US" w:eastAsia="zh-CN"/>
        </w:rPr>
      </w:pPr>
    </w:p>
    <w:p w14:paraId="20E19A4C">
      <w:pPr>
        <w:spacing w:line="560" w:lineRule="exact"/>
        <w:jc w:val="right"/>
        <w:rPr>
          <w:rFonts w:hint="eastAsia" w:ascii="仿宋" w:hAnsi="仿宋" w:eastAsia="仿宋" w:cs="仿宋"/>
          <w:color w:val="auto"/>
          <w:sz w:val="24"/>
          <w:szCs w:val="24"/>
        </w:rPr>
      </w:pPr>
      <w:r>
        <w:rPr>
          <w:rFonts w:hint="eastAsia" w:ascii="仿宋" w:hAnsi="仿宋" w:eastAsia="仿宋" w:cs="仿宋"/>
          <w:b w:val="0"/>
          <w:bCs w:val="0"/>
          <w:sz w:val="24"/>
          <w:szCs w:val="24"/>
          <w:u w:val="none"/>
          <w:lang w:val="en-US" w:eastAsia="zh-CN"/>
        </w:rPr>
        <w:t>四平市铁西区城市管理行政执法局</w:t>
      </w:r>
      <w:r>
        <w:rPr>
          <w:rFonts w:hint="eastAsia" w:ascii="仿宋" w:hAnsi="仿宋" w:eastAsia="仿宋" w:cs="仿宋"/>
          <w:color w:val="auto"/>
          <w:sz w:val="24"/>
          <w:szCs w:val="24"/>
        </w:rPr>
        <w:t xml:space="preserve">                                                      </w:t>
      </w:r>
    </w:p>
    <w:p w14:paraId="3A183805">
      <w:pPr>
        <w:tabs>
          <w:tab w:val="left" w:pos="5612"/>
        </w:tabs>
        <w:spacing w:line="5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lang w:val="en-US" w:eastAsia="zh-CN"/>
        </w:rPr>
        <w:t>2025年</w:t>
      </w:r>
      <w:r>
        <w:rPr>
          <w:rFonts w:hint="eastAsia" w:ascii="仿宋" w:hAnsi="仿宋" w:eastAsia="仿宋" w:cs="仿宋"/>
          <w:color w:val="auto"/>
          <w:sz w:val="24"/>
          <w:szCs w:val="24"/>
          <w:highlight w:val="none"/>
          <w:lang w:val="en-US" w:eastAsia="zh-CN"/>
        </w:rPr>
        <w:t>3月20</w:t>
      </w:r>
      <w:r>
        <w:rPr>
          <w:rFonts w:hint="eastAsia" w:ascii="仿宋" w:hAnsi="仿宋" w:eastAsia="仿宋" w:cs="仿宋"/>
          <w:color w:val="auto"/>
          <w:sz w:val="24"/>
          <w:szCs w:val="24"/>
          <w:lang w:val="en-US" w:eastAsia="zh-CN"/>
        </w:rPr>
        <w:t>日</w:t>
      </w:r>
    </w:p>
    <w:p w14:paraId="27CF4D69">
      <w:pPr>
        <w:pStyle w:val="4"/>
        <w:ind w:left="0" w:leftChars="0" w:firstLine="0" w:firstLineChars="0"/>
        <w:jc w:val="left"/>
      </w:pPr>
      <w:r>
        <w:rPr>
          <w:rFonts w:hint="eastAsia" w:ascii="仿宋" w:hAnsi="仿宋" w:eastAsia="仿宋" w:cs="仿宋"/>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9525</wp:posOffset>
                </wp:positionV>
                <wp:extent cx="5486400" cy="0"/>
                <wp:effectExtent l="0" t="9525" r="0" b="9525"/>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2.15pt;margin-top:0.75pt;height:0pt;width:432pt;z-index:251660288;mso-width-relative:page;mso-height-relative:page;" filled="f" stroked="t" coordsize="21600,21600" o:gfxdata="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iSfS9MA&#10;AAAGAQAADwAAAAAAAAABACAAAAAiAAAAZHJzL2Rvd25yZXYueG1sUEsBAhQAFAAAAAgAh07iQJm8&#10;ov3rAQAAuwMAAA4AAAAAAAAAAQAgAAAAIgEAAGRycy9lMm9Eb2MueG1sUEsFBgAAAAAGAAYAWQEA&#10;AH8FAAAAAA==&#10;">
                <v:fill on="f" focussize="0,0"/>
                <v:stroke weight="1.5pt" color="#000000" joinstyle="round"/>
                <v:imagedata o:title=""/>
                <o:lock v:ext="edit" aspectratio="f"/>
              </v:line>
            </w:pict>
          </mc:Fallback>
        </mc:AlternateContent>
      </w:r>
      <w:r>
        <w:rPr>
          <w:rFonts w:hint="eastAsia" w:ascii="仿宋" w:hAnsi="仿宋" w:eastAsia="仿宋" w:cs="仿宋"/>
          <w:color w:val="auto"/>
          <w:sz w:val="21"/>
          <w:szCs w:val="21"/>
        </w:rPr>
        <w:t>本文书一式两份：一份由执法机关备案，一份送达被处罚当事人。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C149A7"/>
    <w:rsid w:val="33D8378D"/>
    <w:rsid w:val="35112A2E"/>
    <w:rsid w:val="64162BFF"/>
    <w:rsid w:val="748F5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90" w:lineRule="exact"/>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公1"/>
    <w:basedOn w:val="5"/>
    <w:next w:val="1"/>
    <w:qFormat/>
    <w:uiPriority w:val="0"/>
    <w:pPr>
      <w:ind w:firstLine="200" w:firstLineChars="200"/>
    </w:pPr>
  </w:style>
  <w:style w:type="paragraph" w:customStyle="1" w:styleId="5">
    <w:name w:val="正文 New New New"/>
    <w:next w:val="4"/>
    <w:qFormat/>
    <w:uiPriority w:val="0"/>
    <w:pPr>
      <w:jc w:val="both"/>
    </w:pPr>
    <w:rPr>
      <w:rFonts w:ascii="Calibri" w:hAnsi="Calibri" w:eastAsia="Malgun Gothic" w:cs="Calibri"/>
      <w:sz w:val="21"/>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617</Words>
  <Characters>671</Characters>
  <Lines>0</Lines>
  <Paragraphs>0</Paragraphs>
  <TotalTime>0</TotalTime>
  <ScaleCrop>false</ScaleCrop>
  <LinksUpToDate>false</LinksUpToDate>
  <CharactersWithSpaces>819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2025-03-20T05:41:00Z</dcterms:created>
  <dc:creator>Administrator</dc:creator>
  <cp:lastModifiedBy>Administrator</cp:lastModifiedBy>
  <cp:lastPrinted>2025-03-21T01:34:25Z</cp:lastPrinted>
  <dcterms:modified xsi:type="dcterms:W3CDTF">2025-03-21T01:34:26Z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eyJoZGlkIjoiNmRiYWZiY2QxZWE2YTYwM2U1NWNmNzRmOGI1MjQ5ZWQifQ==</vt:lpwstr>
  </property>
  <property fmtid="{D5CDD505-2E9C-101B-9397-08002B2CF9AE}" pid="4" name="ICV">
    <vt:lpwstr>78F4B7D5166F4A41BEBA35614FF76999_12</vt:lpwstr>
  </property>
</Properties>
</file>