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中央</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生态环境</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十二</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4"/>
        <w:tblW w:w="15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138"/>
        <w:gridCol w:w="1458"/>
        <w:gridCol w:w="4138"/>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83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3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5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3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0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8" w:hRule="atLeast"/>
          <w:jc w:val="center"/>
        </w:trPr>
        <w:tc>
          <w:tcPr>
            <w:tcW w:w="833"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jc w:val="both"/>
              <w:rPr>
                <w:rFonts w:ascii="仿宋" w:hAnsi="仿宋" w:eastAsia="仿宋" w:cs="仿宋"/>
                <w:sz w:val="24"/>
              </w:rPr>
            </w:pPr>
            <w:r>
              <w:rPr>
                <w:rFonts w:hint="eastAsia"/>
                <w:lang w:val="en-US" w:eastAsia="zh-CN"/>
              </w:rPr>
              <w:t>十二</w:t>
            </w:r>
          </w:p>
        </w:tc>
        <w:tc>
          <w:tcPr>
            <w:tcW w:w="3138"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吉林省松花江、辽河流域污染治理虽取得明显成效，但影响水质根本改善的城镇环境基础设施短板仍然突出，规模化畜禽养殖污染防治力度不够，治理成效仍不稳固，一些区域甚至呈现反弹趋势。 </w:t>
            </w:r>
          </w:p>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p>
        </w:tc>
        <w:tc>
          <w:tcPr>
            <w:tcW w:w="1458"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铁西区规模化养殖场畜禽粪污有序堆放，加强综合利用，巩固污染防治治理成效，确保断面水质稳定达标。　</w:t>
            </w:r>
          </w:p>
        </w:tc>
        <w:tc>
          <w:tcPr>
            <w:tcW w:w="4138"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一）按照市生态环境局制定印发《四平市各流域重点河流水质管控制度》，加大区、乡（街）、村（社区）各级河长排查力度、频次，加强水质分析，巩固流域水环境质量。生态环境局铁西区分局综合运用“双随机、一公开”和专项执法等方式，加强规模化畜禽养殖监管，确保污染防治设施稳定运行。2022年12月底，优良水体比例达到国家年度考核要求。</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二）区农业农村局加强督导检查，制定《铁西区畜禽粪污资源化利用长效机制》，不断提升畜禽粪污收集、处理、利用水平。同时，加强畜禽粪污综合利用模式的宣传和推广应用。2022年8月底前，区农业农村局会同生态环境局铁西区分局、平西乡政府等部门，组织开展畜禽粪污问题隐患排查整治行动，对规模化养殖场污染防治设施运行情况、区域粪污处理中心和粪污收集点运行等情况进行排查，发现问题，立即组织整改。2023年6月底前，联合相关部门开展畜禽粪污资源化利用工作年度考核。</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三）强化畜禽粪污综合利用的指导与服务，区农业农村局推进畜禽规模养殖场粪污处理设施配套建设，设施装备配套率达到100%，平西乡政府确保收储运体系运行良好，畜禽粪污集中收储设施无长期闲置，粪污综合利用率稳定达到85%以上。</w:t>
            </w:r>
          </w:p>
        </w:tc>
        <w:tc>
          <w:tcPr>
            <w:tcW w:w="60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一）按照《四平市各流域重点河流水质管控制度》要求，铁西区制定印发了《铁西区关于加强河湖水质提升攻坚行动的实施方案》《铁西区2023清河专项行动实施方案》等文件，各级河长巡河累计达到2781次。2022年，林家断面为四类水质，达到国家考核要求。2023年10月，生态环境局铁西区分局对全区规模化养殖场污染防治设施运行情况进行了排查，未发现相关问题。</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二）铁西区印发了《铁西区畜禽粪污资源化利用长效运营机制》《铁西区2022年畜禽粪污资源化利用考核实施方案》《铁西区畜禽粪污问题隐患排查整治专项行动方案》。2022年5月,区农业农村局、生态环境局铁西区分局、平西乡人民政府开展了畜禽粪污排查整治专项行动，对排查出问题的4家养殖场开具了畜禽养殖联合整治通知书，限期进行了整改。2023年，区农业农村局、生态环境局铁西区分局、平西乡人民政府联合开展了畜禽粪污资源化利用工作年度考核。</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（三）铁西区辖区内有64家规模养殖场，粪污处理设施装备配套率达到100%，建立了区、乡、村三级联动的收储运体系。与中时环河环保科技有限责任公司签订合约，建设四平市铁西区80</w:t>
            </w:r>
            <w:bookmarkStart w:id="0" w:name="_GoBack"/>
            <w:bookmarkEnd w:id="0"/>
            <w:r>
              <w:rPr>
                <w:rFonts w:hint="eastAsia" w:ascii="仿宋_GB2312" w:hAnsi="仿宋_GB2312" w:eastAsia="仿宋_GB2312" w:cs="仿宋_GB2312"/>
                <w:sz w:val="15"/>
                <w:szCs w:val="15"/>
                <w:lang w:val="en-US" w:eastAsia="zh-CN"/>
              </w:rPr>
              <w:t>00吨畜禽粪污资源化处置项目，铁西区粪污综合利用率稳定达到95.24%。</w:t>
            </w:r>
          </w:p>
        </w:tc>
      </w:tr>
    </w:tbl>
    <w:p>
      <w:pPr>
        <w:pStyle w:val="2"/>
        <w:ind w:left="0" w:leftChars="0" w:firstLine="0" w:firstLineChars="0"/>
        <w:rPr>
          <w:rFonts w:hint="default"/>
          <w:lang w:val="en-US" w:eastAsia="zh-CN"/>
        </w:rPr>
      </w:pPr>
    </w:p>
    <w:sectPr>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NjdhNThjYmIxMWUwNTU2OTU2NTA0OGVhMzA2OGYifQ=="/>
  </w:docVars>
  <w:rsids>
    <w:rsidRoot w:val="00000000"/>
    <w:rsid w:val="0A713ACF"/>
    <w:rsid w:val="4FB573FD"/>
    <w:rsid w:val="4FEC2DDA"/>
    <w:rsid w:val="53E73BB6"/>
    <w:rsid w:val="55A81081"/>
    <w:rsid w:val="75CA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2023-12-08T02:04:00Z</dcterms:created>
  <dc:creator>Administrator</dc:creator>
  <cp:lastModifiedBy>王先生</cp:lastModifiedBy>
  <dcterms:modified xsi:type="dcterms:W3CDTF">2023-12-08T02:10:09Z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9DDD55EC5A4444F89AF9EB5A7FF96B97_12</vt:lpwstr>
  </property>
</Properties>
</file>