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napToGrid w:val="0"/>
        <w:spacing w:line="240" w:lineRule="auto"/>
        <w:jc w:val="center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3"/>
          <w:szCs w:val="43"/>
          <w:lang w:val="en-US" w:eastAsia="zh-CN" w:bidi="ar"/>
          <w14:textFill>
            <w14:solidFill>
              <w14:schemeClr w14:val="tx1"/>
            </w14:solidFill>
          </w14:textFill>
        </w:rPr>
        <w:t>铁西区</w:t>
      </w:r>
      <w:r>
        <w:rPr>
          <w:rFonts w:ascii="方正小标宋简体" w:hAnsi="方正小标宋简体" w:eastAsia="方正小标宋简体" w:cs="方正小标宋简体"/>
          <w:color w:val="000000" w:themeColor="text1"/>
          <w:kern w:val="0"/>
          <w:sz w:val="43"/>
          <w:szCs w:val="43"/>
          <w:lang w:val="en-US" w:eastAsia="zh-CN" w:bidi="ar"/>
          <w14:textFill>
            <w14:solidFill>
              <w14:schemeClr w14:val="tx1"/>
            </w14:solidFill>
          </w14:textFill>
        </w:rPr>
        <w:t>贯彻落实第二轮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3"/>
          <w:szCs w:val="43"/>
          <w:lang w:val="en-US" w:eastAsia="zh-CN" w:bidi="ar"/>
          <w14:textFill>
            <w14:solidFill>
              <w14:schemeClr w14:val="tx1"/>
            </w14:solidFill>
          </w14:textFill>
        </w:rPr>
        <w:t>省级</w:t>
      </w:r>
      <w:r>
        <w:rPr>
          <w:rFonts w:ascii="方正小标宋简体" w:hAnsi="方正小标宋简体" w:eastAsia="方正小标宋简体" w:cs="方正小标宋简体"/>
          <w:color w:val="000000" w:themeColor="text1"/>
          <w:kern w:val="0"/>
          <w:sz w:val="43"/>
          <w:szCs w:val="43"/>
          <w:lang w:val="en-US" w:eastAsia="zh-CN" w:bidi="ar"/>
          <w14:textFill>
            <w14:solidFill>
              <w14:schemeClr w14:val="tx1"/>
            </w14:solidFill>
          </w14:textFill>
        </w:rPr>
        <w:t>生态环境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3"/>
          <w:szCs w:val="43"/>
          <w:lang w:val="en-US" w:eastAsia="zh-CN" w:bidi="ar"/>
          <w14:textFill>
            <w14:solidFill>
              <w14:schemeClr w14:val="tx1"/>
            </w14:solidFill>
          </w14:textFill>
        </w:rPr>
        <w:t>保护督察</w:t>
      </w:r>
      <w:r>
        <w:rPr>
          <w:rFonts w:hint="eastAsia" w:ascii="方正小标宋简体" w:eastAsia="方正小标宋简体"/>
          <w:sz w:val="44"/>
          <w:szCs w:val="44"/>
          <w:highlight w:val="none"/>
          <w:lang w:eastAsia="zh-CN"/>
        </w:rPr>
        <w:t>报告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整改</w:t>
      </w:r>
    </w:p>
    <w:p>
      <w:pPr>
        <w:numPr>
          <w:ilvl w:val="0"/>
          <w:numId w:val="0"/>
        </w:numPr>
        <w:snapToGrid w:val="0"/>
        <w:spacing w:line="240" w:lineRule="auto"/>
        <w:jc w:val="center"/>
        <w:rPr>
          <w:rFonts w:ascii="仿宋" w:hAnsi="仿宋" w:eastAsia="仿宋" w:cs="仿宋"/>
          <w:spacing w:val="-20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任务（序号</w:t>
      </w:r>
      <w:r>
        <w:rPr>
          <w:rFonts w:hint="eastAsia" w:ascii="方正小标宋简体" w:eastAsia="方正小标宋简体"/>
          <w:sz w:val="44"/>
          <w:szCs w:val="44"/>
          <w:highlight w:val="none"/>
          <w:lang w:eastAsia="zh-CN"/>
        </w:rPr>
        <w:t>十四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销号公示表</w:t>
      </w:r>
    </w:p>
    <w:tbl>
      <w:tblPr>
        <w:tblStyle w:val="4"/>
        <w:tblW w:w="156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3138"/>
        <w:gridCol w:w="1458"/>
        <w:gridCol w:w="4138"/>
        <w:gridCol w:w="6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1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整改问题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整改目标</w:t>
            </w:r>
          </w:p>
        </w:tc>
        <w:tc>
          <w:tcPr>
            <w:tcW w:w="41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整改措施</w:t>
            </w:r>
          </w:p>
        </w:tc>
        <w:tc>
          <w:tcPr>
            <w:tcW w:w="60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整改任务完成情况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8" w:hRule="atLeast"/>
          <w:jc w:val="center"/>
        </w:trPr>
        <w:tc>
          <w:tcPr>
            <w:tcW w:w="833" w:type="dxa"/>
            <w:vAlign w:val="top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/>
                <w:lang w:val="en-US" w:eastAsia="zh-CN"/>
              </w:rPr>
              <w:t>十四</w:t>
            </w:r>
          </w:p>
        </w:tc>
        <w:tc>
          <w:tcPr>
            <w:tcW w:w="3138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地下水资源管理措施未得到严格执行。由于超采地下水，四平市区仍有7km2漏斗区。督察发现，四平市建筑工地施工取水普遍未办理取水许可、未安装计量装置，随意取用地下水，水利部门监管存在盲区；在“工业用水、城镇公共用水和城镇居民用水”方面，市本级2020年无证取水量为300万立方米，2021年达到430万立方米，取水许可制度落实还不到位；2020年开展的取用水管理专项整治中，排查出1290项问题，应于2022年9月末完成的整改任务中仍有465项未完成。2020年至今，市本级共查出84起违法行为，仅有1起立案，双辽市、伊通县无任何执法案件信息及问题线索，执法执罚不够严格。</w:t>
            </w:r>
          </w:p>
        </w:tc>
        <w:tc>
          <w:tcPr>
            <w:tcW w:w="14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严格贯彻落实地下水管理相关措施，强化监督。</w:t>
            </w:r>
          </w:p>
        </w:tc>
        <w:tc>
          <w:tcPr>
            <w:tcW w:w="41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（一）配合市水利局开展取水管理专项整治行动，对铁西区27项问题加快整改。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（二）编制铁西区农村区域水资源评估报告，协助平西乡各村补办取水许可证，安装监测计量设施。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（三）强化监督，发现问题及时反馈市有关部门。</w:t>
            </w:r>
          </w:p>
        </w:tc>
        <w:tc>
          <w:tcPr>
            <w:tcW w:w="6070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（一）铁西区农业农村局将全力配合市水利局开展取水管理专项整治行动。</w:t>
            </w:r>
          </w:p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（二）协助市水利局编制铁西区农村区域水资源评估报告，在市水利局指导下协助平西乡各村补办取水许可证，安装监测计量设施。</w:t>
            </w:r>
          </w:p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（三）配合市水利局强化监督，发现问题及时反馈。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304" w:right="1440" w:bottom="1304" w:left="1440" w:header="851" w:footer="992" w:gutter="0"/>
      <w:cols w:space="72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1NjdhNThjYmIxMWUwNTU2OTU2NTA0OGVhMzA2OGYifQ=="/>
  </w:docVars>
  <w:rsids>
    <w:rsidRoot w:val="00000000"/>
    <w:rsid w:val="0A713ACF"/>
    <w:rsid w:val="4FB573FD"/>
    <w:rsid w:val="4FEC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Autospacing="0" w:line="480" w:lineRule="auto"/>
      <w:ind w:left="200" w:leftChars="200"/>
    </w:pPr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2023-12-08T02:04:00Z</dcterms:created>
  <dc:creator>Administrator</dc:creator>
  <cp:lastModifiedBy>王先生</cp:lastModifiedBy>
  <dcterms:modified xsi:type="dcterms:W3CDTF">2023-12-08T02:07:47Z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9DDD55EC5A4444F89AF9EB5A7FF96B97_12</vt:lpwstr>
  </property>
</Properties>
</file>