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rPr>
        <w:t>铁西区</w:t>
      </w:r>
      <w:r>
        <w:rPr>
          <w:rFonts w:ascii="方正小标宋简体" w:hAnsi="方正小标宋简体" w:eastAsia="方正小标宋简体" w:cs="方正小标宋简体"/>
          <w:color w:val="000000" w:themeColor="text1"/>
          <w:kern w:val="0"/>
          <w:sz w:val="43"/>
          <w:szCs w:val="43"/>
          <w:lang w:val="en-US" w:eastAsia="zh-CN" w:bidi="ar"/>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rPr>
        <w:t>省级</w:t>
      </w:r>
      <w:r>
        <w:rPr>
          <w:rFonts w:ascii="方正小标宋简体" w:hAnsi="方正小标宋简体" w:eastAsia="方正小标宋简体" w:cs="方正小标宋简体"/>
          <w:color w:val="000000" w:themeColor="text1"/>
          <w:kern w:val="0"/>
          <w:sz w:val="43"/>
          <w:szCs w:val="43"/>
          <w:lang w:val="en-US" w:eastAsia="zh-CN" w:bidi="ar"/>
        </w:rPr>
        <w:t>生态环境</w:t>
      </w:r>
      <w:r>
        <w:rPr>
          <w:rFonts w:hint="eastAsia" w:ascii="方正小标宋简体" w:hAnsi="方正小标宋简体" w:eastAsia="方正小标宋简体" w:cs="方正小标宋简体"/>
          <w:color w:val="000000" w:themeColor="text1"/>
          <w:kern w:val="0"/>
          <w:sz w:val="43"/>
          <w:szCs w:val="43"/>
          <w:lang w:val="en-US" w:eastAsia="zh-CN" w:bidi="ar"/>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七</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10"/>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七</w:t>
            </w:r>
          </w:p>
        </w:tc>
        <w:tc>
          <w:tcPr>
            <w:tcW w:w="3163"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18"/>
                <w:szCs w:val="18"/>
                <w:lang w:val="en-US" w:eastAsia="zh-CN"/>
              </w:rPr>
              <w:t>2021 年四平市秸秆综合利用缺乏专题研究，相关部门分工不协同，发改、农业农村部门协作机制不够健全有效，尚未形成齐抓共管合力。相关部门研究解决秸秆综合利用出口路径少，存在思路不活、办法不多等问题。四平市本级秸秆综合利用考核机制不健全，发改部门按照实际完成任务‚量身定做考核目标，无法核实 2021 年秸秆综合利用率 67％的出处和依据，数据‚不严不实，也远低于《四平市秸秆综合利用三年行动方案（2019-2021 年）》‚2021 年五化利用率 81.65％的目标。</w:t>
            </w:r>
          </w:p>
        </w:tc>
        <w:tc>
          <w:tcPr>
            <w:tcW w:w="14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细化秸秆综合利用目标，拓宽综合利用出路，提升综合利用能力，建立健全部门协作机制。</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21"/>
                <w:szCs w:val="21"/>
                <w:lang w:val="en-US" w:eastAsia="zh-CN"/>
              </w:rPr>
              <w:t>　　　　　　　　　　</w:t>
            </w:r>
          </w:p>
        </w:tc>
        <w:tc>
          <w:tcPr>
            <w:tcW w:w="4170" w:type="dxa"/>
            <w:vAlign w:val="top"/>
          </w:tcPr>
          <w:p>
            <w:pPr>
              <w:pStyle w:val="9"/>
              <w:spacing w:line="240" w:lineRule="auto"/>
              <w:ind w:left="0" w:leftChars="0" w:firstLine="0" w:firstLineChars="0"/>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一）按照省、市、区统一要求，研究制定秸秆综合利用实施意见，明确年度综合利用目标、工作举措、实施路径、保障措施等内容。建立健全部门协调机制，每半年召开一次统一调度会议，强化统一指挥，统筹调度，加强检查，提高管理效率。</w:t>
            </w:r>
          </w:p>
          <w:p>
            <w:pPr>
              <w:pStyle w:val="9"/>
              <w:spacing w:line="240" w:lineRule="auto"/>
              <w:ind w:left="0" w:leftChars="0" w:firstLine="0" w:firstLineChars="0"/>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（二）推广以秸秆还田为主的保护性耕作技术2.4万亩，进一步提高秸秆肥料化利用水平。</w:t>
            </w:r>
          </w:p>
          <w:p>
            <w:pPr>
              <w:pStyle w:val="9"/>
              <w:spacing w:line="240" w:lineRule="auto"/>
              <w:ind w:left="0" w:leftChars="0" w:firstLine="0" w:firstLineChars="0"/>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（三）大力实施千万头牛养殖“秸秆变肉”工程，进一步提高秸秆饲料化利用水平。</w:t>
            </w:r>
          </w:p>
          <w:p>
            <w:pPr>
              <w:pStyle w:val="9"/>
              <w:spacing w:line="240" w:lineRule="auto"/>
              <w:ind w:left="0" w:leftChars="0" w:firstLine="0" w:firstLineChars="0"/>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（四）推广应用生物质成型燃料，做好秸秆打包外销工作，提高秸秆能源化利用水平。</w:t>
            </w:r>
          </w:p>
          <w:p>
            <w:pPr>
              <w:pStyle w:val="9"/>
              <w:spacing w:line="240" w:lineRule="auto"/>
              <w:ind w:left="0" w:leftChars="0" w:firstLine="0" w:firstLineChars="0"/>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（五）做好秸秆综合利用检查督导和考核工作。在秸秆综合利用关键时段，区农业农村局配合省农业农村厅对铁西区各村秸秆综合利用工作进行检查、督导、指导、考核、协调、服务，及时发现解决问题。</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pPr>
              <w:pStyle w:val="4"/>
              <w:numPr>
                <w:ilvl w:val="0"/>
                <w:numId w:val="0"/>
              </w:numPr>
              <w:spacing w:line="240" w:lineRule="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1.铁西区已于2022年8月24日，制定下发，关于印发《2022年铁西区农作物秸秆综合利用实施意见》的通知，明确年度综合利用目标、工作措施、实施路径、保障措施等内容。2023年3月，铁西区平西乡在2023年平西乡环境整治部署会和2023年平西乡秸秆离田调度会上对秸秆离田工作进行调度。</w:t>
            </w:r>
          </w:p>
          <w:p>
            <w:pPr>
              <w:pStyle w:val="4"/>
              <w:numPr>
                <w:ilvl w:val="0"/>
                <w:numId w:val="0"/>
              </w:numPr>
              <w:spacing w:line="240" w:lineRule="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2.为进一步提高秸秆肥料化利用水平，铁西区通过实施保护性耕作秸秆还田模式，2023年共实施了2.4万亩，通过秸秆还田，有效的提高了土地的地力，增加了土壤的湿度和松软度，减少了化肥农药使用量，增加了收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3.铁西区以全市“千万头肉牛”建设工程为载体，全力推进秸秆饲料化利用进程，快速提升秸秆饲料化利用能力，加快秸秆青（黄）贮、颗粒、膨化、微贮等技术推广应用，推进生物菌剂、酶制剂、饲料加工等应用，促进秸秆饲料转化增值，提升秸秆在种养循环中的纽带作用，研究推广秸秆青贮技术，组织规模化食草畜禽养殖场，与农户签订秸秆收购协议，通过秸秆饲料化利用，实现过腹还田。进一步挖掘秸秆饲料化潜力。2022年铁西区秸秆饲料化利用4万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4.铁西区2022年秸秆外销19个企业，收集量为24980吨，其中20000吨用于生产饲料、有机肥原料，剩余4980吨销往电厂燃烧发电。农作物秸秆能源化可以把发展绿色能源、增加农民收入和保护生态环境、提高农业资源利用率有机的统一，在现代农业建设的进程中，具有多重经济效益和社会效益。</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5.2023年3月，铁西区农业农村局实地对铁西区平西乡秸秆离田工作进行检查、督导。</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p>
        </w:tc>
      </w:tr>
    </w:tbl>
    <w:p>
      <w:bookmarkStart w:id="0" w:name="_GoBack"/>
      <w:bookmarkEnd w:id="0"/>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mYTM0NTMyMTIxZDNjYzFjMWY4MjgxZDQ0MzE0NTkifQ=="/>
  </w:docVars>
  <w:rsids>
    <w:rsidRoot w:val="00000000"/>
    <w:rsid w:val="059A1F61"/>
    <w:rsid w:val="081C66A3"/>
    <w:rsid w:val="0B804C54"/>
    <w:rsid w:val="12394ECF"/>
    <w:rsid w:val="13400651"/>
    <w:rsid w:val="162A4C5D"/>
    <w:rsid w:val="18B23F26"/>
    <w:rsid w:val="192D696A"/>
    <w:rsid w:val="1ABF65DF"/>
    <w:rsid w:val="1AFD620A"/>
    <w:rsid w:val="1D7033D2"/>
    <w:rsid w:val="22833F45"/>
    <w:rsid w:val="22C35778"/>
    <w:rsid w:val="29250C4C"/>
    <w:rsid w:val="2A33750D"/>
    <w:rsid w:val="2A68440F"/>
    <w:rsid w:val="2F8C268B"/>
    <w:rsid w:val="2FCC18B4"/>
    <w:rsid w:val="32F4284A"/>
    <w:rsid w:val="3A1C0A9A"/>
    <w:rsid w:val="3AE95F79"/>
    <w:rsid w:val="44B44B20"/>
    <w:rsid w:val="4A807476"/>
    <w:rsid w:val="576715EC"/>
    <w:rsid w:val="597F46D7"/>
    <w:rsid w:val="5B4C65BA"/>
    <w:rsid w:val="5B9B5F67"/>
    <w:rsid w:val="61C76D76"/>
    <w:rsid w:val="64BB3323"/>
    <w:rsid w:val="694A1490"/>
    <w:rsid w:val="6A880AF0"/>
    <w:rsid w:val="6BA976F3"/>
    <w:rsid w:val="6CD059C5"/>
    <w:rsid w:val="6E302AFF"/>
    <w:rsid w:val="703277AB"/>
    <w:rsid w:val="71063344"/>
    <w:rsid w:val="74AB7F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Body Text Indent"/>
    <w:basedOn w:val="1"/>
    <w:next w:val="2"/>
    <w:qFormat/>
    <w:uiPriority w:val="0"/>
    <w:pPr>
      <w:spacing w:after="120"/>
      <w:ind w:left="420" w:leftChars="200"/>
    </w:pPr>
    <w:rPr>
      <w:rFonts w:eastAsia="宋体"/>
    </w:rPr>
  </w:style>
  <w:style w:type="paragraph" w:styleId="4">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Body Text First Indent 2"/>
    <w:basedOn w:val="3"/>
    <w:next w:val="1"/>
    <w:unhideWhenUsed/>
    <w:qFormat/>
    <w:uiPriority w:val="0"/>
    <w:pPr>
      <w:ind w:firstLine="420" w:firstLineChars="200"/>
    </w:pPr>
    <w:rPr>
      <w:rFonts w:ascii="Calibri" w:hAnsi="Calibri" w:cs="Times New Roman"/>
    </w:rPr>
  </w:style>
  <w:style w:type="character" w:customStyle="1" w:styleId="12">
    <w:name w:val="页眉 Char Char"/>
    <w:basedOn w:val="11"/>
    <w:link w:val="6"/>
    <w:qFormat/>
    <w:uiPriority w:val="0"/>
    <w:rPr>
      <w:kern w:val="2"/>
      <w:sz w:val="18"/>
      <w:szCs w:val="18"/>
    </w:rPr>
  </w:style>
  <w:style w:type="character" w:customStyle="1" w:styleId="13">
    <w:name w:val="页脚 Char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2300</Words>
  <Characters>2468</Characters>
  <Lines>31</Lines>
  <Paragraphs>8</Paragraphs>
  <TotalTime>0</TotalTime>
  <ScaleCrop>false</ScaleCrop>
  <LinksUpToDate>false</LinksUpToDate>
  <CharactersWithSpaces>2504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2023-10-16T05:25:10Z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426A0A68AD454E4F900FD9BBA3843378</vt:lpwstr>
  </property>
</Properties>
</file>