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9A82B">
      <w:pPr>
        <w:numPr>
          <w:ilvl w:val="0"/>
          <w:numId w:val="0"/>
        </w:numPr>
        <w:snapToGrid w:val="0"/>
        <w:spacing w:line="240" w:lineRule="auto"/>
        <w:jc w:val="center"/>
        <w:rPr>
          <w:rFonts w:hint="eastAsia" w:ascii="方正小标宋简体" w:eastAsia="方正小标宋简体"/>
          <w:sz w:val="44"/>
          <w:szCs w:val="44"/>
          <w:highlight w:val="none"/>
        </w:rPr>
      </w:pPr>
      <w:bookmarkStart w:id="0" w:name="_GoBack"/>
      <w:bookmarkEnd w:id="0"/>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铁西区</w:t>
      </w:r>
      <w:r>
        <w:rPr>
          <w:rFonts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贯彻落实第二轮中央生态环境</w:t>
      </w: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保护督察</w:t>
      </w:r>
      <w:r>
        <w:rPr>
          <w:rFonts w:hint="eastAsia" w:ascii="方正小标宋简体" w:eastAsia="方正小标宋简体"/>
          <w:sz w:val="44"/>
          <w:szCs w:val="44"/>
          <w:highlight w:val="none"/>
          <w:lang w:eastAsia="zh-CN"/>
        </w:rPr>
        <w:t>报告</w:t>
      </w:r>
      <w:r>
        <w:rPr>
          <w:rFonts w:hint="eastAsia" w:ascii="方正小标宋简体" w:eastAsia="方正小标宋简体"/>
          <w:sz w:val="44"/>
          <w:szCs w:val="44"/>
          <w:highlight w:val="none"/>
        </w:rPr>
        <w:t>整改</w:t>
      </w:r>
    </w:p>
    <w:p w14:paraId="62DA87B3">
      <w:pPr>
        <w:numPr>
          <w:ilvl w:val="0"/>
          <w:numId w:val="0"/>
        </w:numPr>
        <w:snapToGrid w:val="0"/>
        <w:spacing w:line="240" w:lineRule="auto"/>
        <w:jc w:val="center"/>
        <w:rPr>
          <w:rFonts w:ascii="仿宋" w:hAnsi="仿宋" w:eastAsia="仿宋" w:cs="仿宋"/>
          <w:spacing w:val="-20"/>
          <w:sz w:val="32"/>
          <w:szCs w:val="32"/>
        </w:rPr>
      </w:pPr>
      <w:r>
        <w:rPr>
          <w:rFonts w:hint="eastAsia" w:ascii="方正小标宋简体" w:eastAsia="方正小标宋简体"/>
          <w:sz w:val="44"/>
          <w:szCs w:val="44"/>
          <w:highlight w:val="none"/>
        </w:rPr>
        <w:t>任务（序号</w:t>
      </w:r>
      <w:r>
        <w:rPr>
          <w:rFonts w:hint="eastAsia" w:ascii="方正小标宋简体" w:eastAsia="方正小标宋简体"/>
          <w:sz w:val="44"/>
          <w:szCs w:val="44"/>
          <w:highlight w:val="none"/>
          <w:lang w:eastAsia="zh-CN"/>
        </w:rPr>
        <w:t>三</w:t>
      </w:r>
      <w:r>
        <w:rPr>
          <w:rFonts w:hint="eastAsia" w:ascii="方正小标宋简体" w:eastAsia="方正小标宋简体"/>
          <w:sz w:val="44"/>
          <w:szCs w:val="44"/>
          <w:highlight w:val="none"/>
        </w:rPr>
        <w:t>）</w:t>
      </w:r>
      <w:r>
        <w:rPr>
          <w:rFonts w:hint="eastAsia" w:ascii="方正小标宋简体" w:hAnsi="方正小标宋简体" w:eastAsia="方正小标宋简体" w:cs="方正小标宋简体"/>
          <w:sz w:val="44"/>
          <w:szCs w:val="44"/>
        </w:rPr>
        <w:t>销号公示表</w:t>
      </w:r>
    </w:p>
    <w:tbl>
      <w:tblPr>
        <w:tblStyle w:val="6"/>
        <w:tblW w:w="15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63"/>
        <w:gridCol w:w="1470"/>
        <w:gridCol w:w="4170"/>
        <w:gridCol w:w="6117"/>
      </w:tblGrid>
      <w:tr w14:paraId="54E0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840" w:type="dxa"/>
            <w:vAlign w:val="center"/>
          </w:tcPr>
          <w:p w14:paraId="4DA14AC9">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3163" w:type="dxa"/>
            <w:vAlign w:val="center"/>
          </w:tcPr>
          <w:p w14:paraId="17B234C0">
            <w:pPr>
              <w:jc w:val="center"/>
              <w:rPr>
                <w:rFonts w:ascii="仿宋" w:hAnsi="仿宋" w:eastAsia="仿宋" w:cs="仿宋"/>
                <w:b/>
                <w:bCs/>
                <w:sz w:val="28"/>
                <w:szCs w:val="28"/>
              </w:rPr>
            </w:pPr>
            <w:r>
              <w:rPr>
                <w:rFonts w:hint="eastAsia" w:ascii="仿宋" w:hAnsi="仿宋" w:eastAsia="仿宋" w:cs="仿宋"/>
                <w:b/>
                <w:bCs/>
                <w:sz w:val="28"/>
                <w:szCs w:val="28"/>
              </w:rPr>
              <w:t>整改问题</w:t>
            </w:r>
          </w:p>
        </w:tc>
        <w:tc>
          <w:tcPr>
            <w:tcW w:w="1470" w:type="dxa"/>
            <w:vAlign w:val="center"/>
          </w:tcPr>
          <w:p w14:paraId="7CE0A8BE">
            <w:pPr>
              <w:jc w:val="center"/>
              <w:rPr>
                <w:rFonts w:ascii="仿宋" w:hAnsi="仿宋" w:eastAsia="仿宋" w:cs="仿宋"/>
                <w:b/>
                <w:bCs/>
                <w:sz w:val="28"/>
                <w:szCs w:val="28"/>
              </w:rPr>
            </w:pPr>
            <w:r>
              <w:rPr>
                <w:rFonts w:hint="eastAsia" w:ascii="仿宋" w:hAnsi="仿宋" w:eastAsia="仿宋" w:cs="仿宋"/>
                <w:b/>
                <w:bCs/>
                <w:sz w:val="28"/>
                <w:szCs w:val="28"/>
              </w:rPr>
              <w:t>整改目标</w:t>
            </w:r>
          </w:p>
        </w:tc>
        <w:tc>
          <w:tcPr>
            <w:tcW w:w="4170" w:type="dxa"/>
            <w:vAlign w:val="center"/>
          </w:tcPr>
          <w:p w14:paraId="18B52921">
            <w:pPr>
              <w:jc w:val="center"/>
              <w:rPr>
                <w:rFonts w:ascii="仿宋" w:hAnsi="仿宋" w:eastAsia="仿宋" w:cs="仿宋"/>
                <w:b/>
                <w:bCs/>
                <w:sz w:val="28"/>
                <w:szCs w:val="28"/>
              </w:rPr>
            </w:pPr>
            <w:r>
              <w:rPr>
                <w:rFonts w:hint="eastAsia" w:ascii="仿宋" w:hAnsi="仿宋" w:eastAsia="仿宋" w:cs="仿宋"/>
                <w:b/>
                <w:bCs/>
                <w:sz w:val="28"/>
                <w:szCs w:val="28"/>
              </w:rPr>
              <w:t>整改措施</w:t>
            </w:r>
          </w:p>
        </w:tc>
        <w:tc>
          <w:tcPr>
            <w:tcW w:w="6117" w:type="dxa"/>
            <w:vAlign w:val="center"/>
          </w:tcPr>
          <w:p w14:paraId="7519A6CF">
            <w:pPr>
              <w:jc w:val="center"/>
              <w:rPr>
                <w:rFonts w:ascii="仿宋" w:hAnsi="仿宋" w:eastAsia="仿宋" w:cs="仿宋"/>
                <w:b/>
                <w:bCs/>
                <w:sz w:val="28"/>
                <w:szCs w:val="28"/>
              </w:rPr>
            </w:pPr>
            <w:r>
              <w:rPr>
                <w:rFonts w:hint="eastAsia" w:ascii="仿宋" w:hAnsi="仿宋" w:eastAsia="仿宋" w:cs="仿宋"/>
                <w:b/>
                <w:bCs/>
                <w:sz w:val="28"/>
                <w:szCs w:val="28"/>
              </w:rPr>
              <w:t>整改任务完成情况</w:t>
            </w:r>
          </w:p>
        </w:tc>
      </w:tr>
      <w:tr w14:paraId="3F68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4" w:hRule="atLeast"/>
          <w:jc w:val="center"/>
        </w:trPr>
        <w:tc>
          <w:tcPr>
            <w:tcW w:w="840" w:type="dxa"/>
            <w:vAlign w:val="top"/>
          </w:tcPr>
          <w:p w14:paraId="79972735">
            <w:pPr>
              <w:ind w:left="0" w:leftChars="0" w:firstLine="0" w:firstLineChars="0"/>
              <w:rPr>
                <w:rFonts w:hint="eastAsia"/>
                <w:lang w:eastAsia="zh-CN"/>
              </w:rPr>
            </w:pPr>
          </w:p>
          <w:p w14:paraId="327F8D85">
            <w:pPr>
              <w:ind w:left="0" w:leftChars="0" w:firstLine="0" w:firstLineChars="0"/>
              <w:rPr>
                <w:rFonts w:hint="eastAsia"/>
                <w:lang w:eastAsia="zh-CN"/>
              </w:rPr>
            </w:pPr>
          </w:p>
          <w:p w14:paraId="3A511688">
            <w:pPr>
              <w:ind w:left="0" w:leftChars="0" w:firstLine="0" w:firstLineChars="0"/>
              <w:rPr>
                <w:rFonts w:hint="eastAsia"/>
                <w:lang w:eastAsia="zh-CN"/>
              </w:rPr>
            </w:pPr>
          </w:p>
          <w:p w14:paraId="4D92C0A7">
            <w:pPr>
              <w:ind w:left="0" w:leftChars="0" w:firstLine="0" w:firstLineChars="0"/>
              <w:jc w:val="both"/>
              <w:rPr>
                <w:rFonts w:hint="eastAsia"/>
                <w:lang w:val="en-US" w:eastAsia="zh-CN"/>
              </w:rPr>
            </w:pPr>
          </w:p>
          <w:p w14:paraId="7F619CCA">
            <w:pPr>
              <w:ind w:left="0" w:leftChars="0" w:firstLine="0" w:firstLineChars="0"/>
              <w:jc w:val="both"/>
              <w:rPr>
                <w:rFonts w:hint="eastAsia"/>
                <w:lang w:val="en-US" w:eastAsia="zh-CN"/>
              </w:rPr>
            </w:pPr>
          </w:p>
          <w:p w14:paraId="35152C3E">
            <w:pPr>
              <w:ind w:left="0" w:leftChars="0" w:firstLine="0" w:firstLineChars="0"/>
              <w:jc w:val="both"/>
              <w:rPr>
                <w:rFonts w:hint="eastAsia"/>
                <w:lang w:val="en-US" w:eastAsia="zh-CN"/>
              </w:rPr>
            </w:pPr>
          </w:p>
          <w:p w14:paraId="7F3BC379">
            <w:pPr>
              <w:ind w:left="0" w:leftChars="0" w:firstLine="0" w:firstLineChars="0"/>
              <w:jc w:val="both"/>
              <w:rPr>
                <w:rFonts w:hint="eastAsia"/>
                <w:lang w:val="en-US" w:eastAsia="zh-CN"/>
              </w:rPr>
            </w:pPr>
          </w:p>
          <w:p w14:paraId="7DC16A0E">
            <w:pPr>
              <w:ind w:left="0" w:leftChars="0" w:firstLine="0" w:firstLineChars="0"/>
              <w:jc w:val="both"/>
              <w:rPr>
                <w:rFonts w:hint="eastAsia"/>
                <w:lang w:val="en-US" w:eastAsia="zh-CN"/>
              </w:rPr>
            </w:pPr>
          </w:p>
          <w:p w14:paraId="6FDA31C4">
            <w:pPr>
              <w:ind w:left="0" w:leftChars="0" w:firstLine="0" w:firstLineChars="0"/>
              <w:jc w:val="both"/>
              <w:rPr>
                <w:rFonts w:hint="eastAsia"/>
                <w:lang w:val="en-US" w:eastAsia="zh-CN"/>
              </w:rPr>
            </w:pPr>
          </w:p>
          <w:p w14:paraId="2453465B">
            <w:pPr>
              <w:ind w:left="0" w:leftChars="0" w:firstLine="0" w:firstLineChars="0"/>
              <w:jc w:val="both"/>
              <w:rPr>
                <w:rFonts w:hint="eastAsia"/>
                <w:lang w:val="en-US" w:eastAsia="zh-CN"/>
              </w:rPr>
            </w:pPr>
          </w:p>
          <w:p w14:paraId="6E37B3F7">
            <w:pPr>
              <w:ind w:left="0" w:leftChars="0" w:firstLine="210" w:firstLineChars="100"/>
              <w:jc w:val="both"/>
              <w:rPr>
                <w:rFonts w:ascii="仿宋" w:hAnsi="仿宋" w:eastAsia="仿宋" w:cs="仿宋"/>
                <w:sz w:val="24"/>
              </w:rPr>
            </w:pPr>
            <w:r>
              <w:rPr>
                <w:rFonts w:hint="eastAsia"/>
                <w:lang w:val="en-US" w:eastAsia="zh-CN"/>
              </w:rPr>
              <w:t>三</w:t>
            </w:r>
          </w:p>
        </w:tc>
        <w:tc>
          <w:tcPr>
            <w:tcW w:w="3163" w:type="dxa"/>
            <w:vAlign w:val="top"/>
          </w:tcPr>
          <w:p w14:paraId="2509B754">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一些地方编制“十四五”规划时降低标准，放松绿色生态类指标要求。国家及吉林省“十四五”规划均设定了5个绿色生态类指标，且全是约束性指标。但督察发现，吉林市昌邑区、通化市柳河县等15个县（市、区）设定的指标体系，未包含能耗和二氧化碳排放降低两项指标。长春市九台区、白城市通榆县等18个县（市、区）设定的指标体系，未包含环境空气质量优良天数或地表水优良水体比例。</w:t>
            </w:r>
          </w:p>
          <w:p w14:paraId="22DCFA22">
            <w:pPr>
              <w:widowControl w:val="0"/>
              <w:wordWrap/>
              <w:adjustRightInd/>
              <w:snapToGrid/>
              <w:spacing w:before="0" w:after="0" w:line="240" w:lineRule="auto"/>
              <w:ind w:left="0" w:leftChars="0" w:right="0" w:firstLine="0" w:firstLineChars="0"/>
              <w:jc w:val="both"/>
              <w:textAlignment w:val="auto"/>
              <w:outlineLvl w:val="9"/>
              <w:rPr>
                <w:rFonts w:ascii="仿宋" w:hAnsi="仿宋" w:eastAsia="仿宋" w:cs="仿宋"/>
                <w:sz w:val="21"/>
                <w:szCs w:val="21"/>
              </w:rPr>
            </w:pPr>
          </w:p>
        </w:tc>
        <w:tc>
          <w:tcPr>
            <w:tcW w:w="1470" w:type="dxa"/>
            <w:vAlign w:val="top"/>
          </w:tcPr>
          <w:p w14:paraId="003DA2DE">
            <w:pPr>
              <w:widowControl w:val="0"/>
              <w:wordWrap/>
              <w:adjustRightInd/>
              <w:snapToGrid/>
              <w:spacing w:before="0" w:after="0" w:line="240" w:lineRule="auto"/>
              <w:ind w:left="0" w:leftChars="0" w:right="0" w:firstLine="0" w:firstLineChars="0"/>
              <w:jc w:val="both"/>
              <w:textAlignment w:val="auto"/>
              <w:outlineLvl w:val="9"/>
              <w:rPr>
                <w:rFonts w:hint="default" w:ascii="仿宋_GB2312" w:hAnsi="仿宋_GB2312" w:eastAsia="仿宋_GB2312" w:cs="仿宋_GB2312"/>
                <w:sz w:val="15"/>
                <w:szCs w:val="15"/>
                <w:lang w:val="en-US" w:eastAsia="zh-CN"/>
              </w:rPr>
            </w:pPr>
            <w:r>
              <w:rPr>
                <w:rFonts w:hint="default" w:ascii="仿宋_GB2312" w:hAnsi="仿宋_GB2312" w:eastAsia="仿宋_GB2312" w:cs="仿宋_GB2312"/>
                <w:sz w:val="15"/>
                <w:szCs w:val="15"/>
                <w:lang w:val="en-US" w:eastAsia="zh-CN"/>
              </w:rPr>
              <w:t>科学确定四平市</w:t>
            </w:r>
            <w:r>
              <w:rPr>
                <w:rFonts w:hint="eastAsia" w:ascii="仿宋_GB2312" w:hAnsi="仿宋_GB2312" w:eastAsia="仿宋_GB2312" w:cs="仿宋_GB2312"/>
                <w:sz w:val="15"/>
                <w:szCs w:val="15"/>
                <w:lang w:val="en-US" w:eastAsia="zh-CN"/>
              </w:rPr>
              <w:t>铁西区</w:t>
            </w:r>
            <w:r>
              <w:rPr>
                <w:rFonts w:hint="default" w:ascii="仿宋_GB2312" w:hAnsi="仿宋_GB2312" w:eastAsia="仿宋_GB2312" w:cs="仿宋_GB2312"/>
                <w:sz w:val="15"/>
                <w:szCs w:val="15"/>
                <w:lang w:val="en-US" w:eastAsia="zh-CN"/>
              </w:rPr>
              <w:t>“十四五”规划绿色生态类指标中能耗降低指标</w:t>
            </w:r>
            <w:r>
              <w:rPr>
                <w:rFonts w:hint="eastAsia" w:ascii="仿宋_GB2312" w:hAnsi="仿宋_GB2312" w:eastAsia="仿宋_GB2312" w:cs="仿宋_GB2312"/>
                <w:sz w:val="15"/>
                <w:szCs w:val="15"/>
                <w:lang w:val="en-US" w:eastAsia="zh-CN"/>
              </w:rPr>
              <w:t>。</w:t>
            </w:r>
          </w:p>
          <w:p w14:paraId="2EC38F50">
            <w:pPr>
              <w:keepNext w:val="0"/>
              <w:keepLines w:val="0"/>
              <w:pageBreakBefore w:val="0"/>
              <w:widowControl w:val="0"/>
              <w:numPr>
                <w:ilvl w:val="0"/>
                <w:numId w:val="0"/>
              </w:numPr>
              <w:kinsoku/>
              <w:wordWrap/>
              <w:topLinePunct w:val="0"/>
              <w:autoSpaceDE/>
              <w:autoSpaceDN/>
              <w:bidi w:val="0"/>
              <w:adjustRightInd/>
              <w:spacing w:line="240" w:lineRule="auto"/>
              <w:ind w:firstLine="42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b w:val="0"/>
                <w:bCs w:val="0"/>
                <w:sz w:val="21"/>
                <w:szCs w:val="21"/>
                <w:lang w:val="en-US" w:eastAsia="zh-CN"/>
              </w:rPr>
              <w:t>　　　　　　　</w:t>
            </w:r>
          </w:p>
        </w:tc>
        <w:tc>
          <w:tcPr>
            <w:tcW w:w="4170" w:type="dxa"/>
            <w:vAlign w:val="top"/>
          </w:tcPr>
          <w:p w14:paraId="75449ACF">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1.区发改局认真研究铁西区“十四五”规划中的能耗降低等绿色生态类指标，对铁西区编制的“十四五”规划中5个绿色生态类约束性指标进行了全面自查，形成问题清单。</w:t>
            </w:r>
          </w:p>
          <w:p w14:paraId="1CE92CC0">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2.进一步提高对绿色生态指标体系重视，确保在以后的规划编制工作中严格落实关于省、市规划编制要求，确保规划设定的绿色生态指标科学合理。</w:t>
            </w:r>
          </w:p>
          <w:p w14:paraId="15120A78">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p>
          <w:p w14:paraId="0E5B5709">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　</w:t>
            </w:r>
          </w:p>
        </w:tc>
        <w:tc>
          <w:tcPr>
            <w:tcW w:w="6117" w:type="dxa"/>
            <w:vAlign w:val="top"/>
          </w:tcPr>
          <w:p w14:paraId="04D70F9B">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1、铁西区按照“十四五”时期经济社会发展主要指标表，对相关绿色生态类指标进行自查并于2022年8月25日自查完成。</w:t>
            </w:r>
          </w:p>
          <w:p w14:paraId="291306B6">
            <w:pPr>
              <w:widowControl w:val="0"/>
              <w:wordWrap/>
              <w:adjustRightInd/>
              <w:snapToGrid/>
              <w:spacing w:before="0" w:after="0" w:line="240" w:lineRule="auto"/>
              <w:ind w:left="0" w:leftChars="0" w:right="0" w:firstLine="0" w:firstLineChars="0"/>
              <w:jc w:val="both"/>
              <w:textAlignment w:val="auto"/>
              <w:outlineLvl w:val="9"/>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2、为确保以后规划编制工作中严格落实关于省、市规划编制要求，确保规划设定的绿色生态指标科学合理。铁西区发改局2021年10月24日，制定下发《四平市铁西区人民政府办公室关于落实四平市铁西区国民经济和社会发展第十四个五年计划和二0三五年远景目标纲要主要目标任务的实施方案》。</w:t>
            </w:r>
          </w:p>
        </w:tc>
      </w:tr>
    </w:tbl>
    <w:p w14:paraId="2A3EA4A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NjA5MGIwYzNkNzIxNmM0NDRlY2NlOWIwNjY4NzUifQ=="/>
  </w:docVars>
  <w:rsids>
    <w:rsidRoot w:val="6E4C60EC"/>
    <w:rsid w:val="61C13BC9"/>
    <w:rsid w:val="6E4C6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rFonts w:ascii="Calibri" w:hAnsi="Calibri" w:cs="Times New Roman"/>
    </w:rPr>
  </w:style>
  <w:style w:type="paragraph" w:styleId="3">
    <w:name w:val="Body Text Indent"/>
    <w:basedOn w:val="1"/>
    <w:next w:val="4"/>
    <w:qFormat/>
    <w:uiPriority w:val="0"/>
    <w:pPr>
      <w:spacing w:after="120"/>
      <w:ind w:left="420" w:leftChars="200"/>
    </w:pPr>
    <w:rPr>
      <w:rFonts w:eastAsia="宋体"/>
    </w:rPr>
  </w:style>
  <w:style w:type="paragraph" w:styleId="4">
    <w:name w:val="Normal Indent"/>
    <w:basedOn w:val="1"/>
    <w:qFormat/>
    <w:uiPriority w:val="0"/>
    <w:pPr>
      <w:ind w:firstLine="420" w:firstLineChars="200"/>
    </w:pPr>
    <w:rPr>
      <w:rFonts w:ascii="Calibri" w:hAnsi="Calibri"/>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592</Words>
  <Characters>605</Characters>
  <Lines>0</Lines>
  <Paragraphs>0</Paragraphs>
  <TotalTime>0</TotalTime>
  <ScaleCrop>false</ScaleCrop>
  <LinksUpToDate>false</LinksUpToDate>
  <CharactersWithSpaces>613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2022-12-30T07:33:00Z</dcterms:created>
  <dc:creator>少年宫舞蹈艺术培训中心</dc:creator>
  <cp:lastModifiedBy>Czy.</cp:lastModifiedBy>
  <dcterms:modified xsi:type="dcterms:W3CDTF">2024-12-19T06:50:24Z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5370B8EB2AB0465AA92370E9D12DA2DD</vt:lpwstr>
  </property>
</Properties>
</file>