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240" w:lineRule="auto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>铁西区</w:t>
      </w: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>贯彻落实第二轮中央生态环境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>保护督察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报告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整改</w:t>
      </w:r>
    </w:p>
    <w:p>
      <w:pPr>
        <w:numPr>
          <w:ilvl w:val="0"/>
          <w:numId w:val="0"/>
        </w:numPr>
        <w:snapToGrid w:val="0"/>
        <w:spacing w:line="240" w:lineRule="auto"/>
        <w:jc w:val="center"/>
        <w:rPr>
          <w:rFonts w:ascii="仿宋" w:hAnsi="仿宋" w:eastAsia="仿宋" w:cs="仿宋"/>
          <w:spacing w:val="-2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任务（序号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二十六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销号公示表</w:t>
      </w:r>
    </w:p>
    <w:bookmarkEnd w:id="0"/>
    <w:tbl>
      <w:tblPr>
        <w:tblStyle w:val="6"/>
        <w:tblW w:w="15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43"/>
        <w:gridCol w:w="1740"/>
        <w:gridCol w:w="4620"/>
        <w:gridCol w:w="6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整改问题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整改目标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整改措施</w:t>
            </w:r>
          </w:p>
        </w:tc>
        <w:tc>
          <w:tcPr>
            <w:tcW w:w="6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整改任务完成情况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7" w:hRule="atLeast"/>
          <w:jc w:val="center"/>
        </w:trPr>
        <w:tc>
          <w:tcPr>
            <w:tcW w:w="840" w:type="dxa"/>
            <w:vAlign w:val="top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210" w:leftChars="100" w:firstLine="0" w:firstLineChars="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  <w:lang w:val="en-US" w:eastAsia="zh-CN"/>
              </w:rPr>
              <w:t>二十六</w:t>
            </w:r>
          </w:p>
        </w:tc>
        <w:tc>
          <w:tcPr>
            <w:tcW w:w="2443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秸秆综合利用率不高，露天焚烧问题仍然存在。全省秸秆综合利用率较低，2020年全省秸秆“五化”利用率仅为58%。大量秸秆没有有效消纳途径，导致秸秆露天焚烧问题屡禁不止，近两年来多次发生秸秆焚烧致大气污染问题。2020年4月，全省秸秆焚烧火点高达1737个。督察还发现，吉林省秸秆综合利用工作牵头负责部门不明确，工作统筹不够、推动不力，一些地方秸秆综合利用措施落实不到位，数据不严不实。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进一步明确秸秆综合利用工作职责,做到各项秸秆统计数据详实有效,稳步提升秸秆综合利用水平和秸秆露天焚烧管控水平。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　　　　　　</w:t>
            </w:r>
          </w:p>
        </w:tc>
        <w:tc>
          <w:tcPr>
            <w:tcW w:w="4620" w:type="dxa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1.区农业农村局牵头负责做好秸秆肥料化、基料化和饲料化利用工作。区工信局负责秸秆能源化利用工作，区发改局负责秸秆原料化利用工作。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2.区农业农村局全面组织“秸秆变肉”暨千万头肉牛建设工程，加快四平市吉平牧业有限公司的“公司+村集体+农户”新型养殖等项目落地，推进秸秆饲料化利用。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3.区发改局积极谋划秸秆综合利用项目，加快秸秆成型燃料项目建设，推进清洁取暖，提高秸秆综合利用量。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4.按照市生态环境保护领导小组制定印发《四平市秸秆全域禁烧工作实施方案》要求，铁西区成立禁烧秸秆工作领导小组，建立秸杆禁烧工作目标管理责任制，与各村层层签订了责任书。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5.生态环境局铁西区分局成立铁西区秸秆全域禁烧督导巡查组,对秸秆全域禁烧工作持续开展督导巡查,严肃追究发生火点行政村和有关责任人责任,确保禁烧管控责任落实。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6.平西乡建立网格化管理责任体系，明确各村党组织书记为本村禁烧工作第一责任人，并成立相应的组织机构，专职巡逻队员不得少于5人，实行24小时不间断巡查检查，及时发现和制止焚烧秸杆行为。</w:t>
            </w:r>
          </w:p>
        </w:tc>
        <w:tc>
          <w:tcPr>
            <w:tcW w:w="6117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1.铁西区农业农村局负责做好三化工作，制定秸秆三化利用企业统计表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铁西区农业农村局按照市局统一任务安排推进“秸秆变肉”建设工程；平西乡政府持续推进吉平牧业公司“公司+村集体+农户”新型养殖项目；建立铁西区秸秆综合利用年度任务明细表，持续做好秸秆综合利用工作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3.区发改局目前无秸秆综合利用项目，但是通过相关秸秆综合利用企业积极谋划用于生产有机肥原料、销往电厂燃烧发电等提高秸秆综合利用量。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4.铁西区成立生态环境保护领导小组，制定秸秆全域禁烧、全量化处置工作承诺书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5.生态环境局铁西区分局制定秸秆禁烧日常巡查排班表，开展秸秆禁烧日常巡查。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6.平西乡政府制定2022秋季-2023年春季平西乡秸秆离田和秸秆禁烧工作方案，成立乡、村级秸秆禁烧领导小组，乡干部包保等制度，建立了网格化管理责任体系。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jA5MGIwYzNkNzIxNmM0NDRlY2NlOWIwNjY4NzUifQ=="/>
  </w:docVars>
  <w:rsids>
    <w:rsidRoot w:val="0B5E3EA1"/>
    <w:rsid w:val="0B5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2022-12-30T08:47:00Z</dcterms:created>
  <dc:creator>少年宫舞蹈艺术培训中心</dc:creator>
  <cp:lastModifiedBy>少年宫舞蹈艺术培训中心</cp:lastModifiedBy>
  <dcterms:modified xsi:type="dcterms:W3CDTF">2022-12-30T08:48:19Z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5995E3F2048049C2A494825916EDD86E</vt:lpwstr>
  </property>
</Properties>
</file>