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240" w:lineRule="auto"/>
        <w:jc w:val="center"/>
        <w:rPr>
          <w:rFonts w:hint="eastAsia" w:ascii="方正小标宋简体" w:eastAsia="方正小标宋简体"/>
          <w:sz w:val="44"/>
          <w:szCs w:val="44"/>
          <w:highlight w:val="none"/>
        </w:rPr>
      </w:pP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铁西区</w:t>
      </w:r>
      <w:r>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贯彻落实第二轮中央生态环境</w:t>
      </w: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保护督察</w:t>
      </w:r>
      <w:r>
        <w:rPr>
          <w:rFonts w:hint="eastAsia" w:ascii="方正小标宋简体" w:eastAsia="方正小标宋简体"/>
          <w:sz w:val="44"/>
          <w:szCs w:val="44"/>
          <w:highlight w:val="none"/>
          <w:lang w:eastAsia="zh-CN"/>
        </w:rPr>
        <w:t>报告</w:t>
      </w:r>
      <w:r>
        <w:rPr>
          <w:rFonts w:hint="eastAsia" w:ascii="方正小标宋简体" w:eastAsia="方正小标宋简体"/>
          <w:sz w:val="44"/>
          <w:szCs w:val="44"/>
          <w:highlight w:val="none"/>
        </w:rPr>
        <w:t>整改</w:t>
      </w:r>
    </w:p>
    <w:p>
      <w:pPr>
        <w:numPr>
          <w:ilvl w:val="0"/>
          <w:numId w:val="0"/>
        </w:numPr>
        <w:snapToGrid w:val="0"/>
        <w:spacing w:line="240" w:lineRule="auto"/>
        <w:jc w:val="center"/>
        <w:rPr>
          <w:rFonts w:ascii="仿宋" w:hAnsi="仿宋" w:eastAsia="仿宋" w:cs="仿宋"/>
          <w:spacing w:val="-20"/>
          <w:sz w:val="32"/>
          <w:szCs w:val="32"/>
        </w:rPr>
      </w:pPr>
      <w:bookmarkStart w:id="0" w:name="_GoBack"/>
      <w:r>
        <w:rPr>
          <w:rFonts w:hint="eastAsia" w:ascii="方正小标宋简体" w:eastAsia="方正小标宋简体"/>
          <w:sz w:val="44"/>
          <w:szCs w:val="44"/>
          <w:highlight w:val="none"/>
        </w:rPr>
        <w:t>任务（序号</w:t>
      </w:r>
      <w:r>
        <w:rPr>
          <w:rFonts w:hint="eastAsia" w:ascii="方正小标宋简体" w:eastAsia="方正小标宋简体"/>
          <w:sz w:val="44"/>
          <w:szCs w:val="44"/>
          <w:highlight w:val="none"/>
          <w:lang w:eastAsia="zh-CN"/>
        </w:rPr>
        <w:t>十一</w:t>
      </w:r>
      <w:r>
        <w:rPr>
          <w:rFonts w:hint="eastAsia" w:ascii="方正小标宋简体" w:eastAsia="方正小标宋简体"/>
          <w:sz w:val="44"/>
          <w:szCs w:val="44"/>
          <w:highlight w:val="none"/>
        </w:rPr>
        <w:t>）</w:t>
      </w:r>
      <w:r>
        <w:rPr>
          <w:rFonts w:hint="eastAsia" w:ascii="方正小标宋简体" w:hAnsi="方正小标宋简体" w:eastAsia="方正小标宋简体" w:cs="方正小标宋简体"/>
          <w:sz w:val="44"/>
          <w:szCs w:val="44"/>
        </w:rPr>
        <w:t>销号公示表</w:t>
      </w:r>
    </w:p>
    <w:bookmarkEnd w:id="0"/>
    <w:tbl>
      <w:tblPr>
        <w:tblStyle w:val="6"/>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93"/>
        <w:gridCol w:w="1770"/>
        <w:gridCol w:w="4740"/>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2293"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77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4740" w:type="dxa"/>
            <w:vAlign w:val="center"/>
          </w:tcPr>
          <w:p>
            <w:pPr>
              <w:widowControl w:val="0"/>
              <w:wordWrap/>
              <w:adjustRightInd/>
              <w:snapToGrid/>
              <w:spacing w:before="0" w:after="0" w:line="240" w:lineRule="auto"/>
              <w:ind w:left="0" w:leftChars="0" w:right="0" w:firstLine="1405" w:firstLineChars="500"/>
              <w:jc w:val="both"/>
              <w:textAlignment w:val="auto"/>
              <w:outlineLvl w:val="9"/>
              <w:rPr>
                <w:rFonts w:hint="eastAsia" w:ascii="仿宋_GB2312" w:hAnsi="仿宋_GB2312" w:eastAsia="仿宋_GB2312" w:cs="仿宋_GB2312"/>
                <w:sz w:val="15"/>
                <w:szCs w:val="15"/>
                <w:lang w:val="en-US" w:eastAsia="zh-CN"/>
              </w:rPr>
            </w:pPr>
            <w:r>
              <w:rPr>
                <w:rFonts w:hint="eastAsia" w:ascii="仿宋" w:hAnsi="仿宋" w:eastAsia="仿宋" w:cs="仿宋"/>
                <w:b/>
                <w:bCs/>
                <w:sz w:val="28"/>
                <w:szCs w:val="28"/>
                <w:lang w:val="en-US" w:eastAsia="zh-CN"/>
              </w:rPr>
              <w:t>整改措施</w:t>
            </w:r>
          </w:p>
        </w:tc>
        <w:tc>
          <w:tcPr>
            <w:tcW w:w="611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4" w:hRule="atLeast"/>
          <w:jc w:val="center"/>
        </w:trPr>
        <w:tc>
          <w:tcPr>
            <w:tcW w:w="840" w:type="dxa"/>
            <w:vAlign w:val="top"/>
          </w:tcPr>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210" w:leftChars="100" w:firstLine="0" w:firstLineChars="0"/>
              <w:jc w:val="both"/>
              <w:rPr>
                <w:rFonts w:ascii="仿宋" w:hAnsi="仿宋" w:eastAsia="仿宋" w:cs="仿宋"/>
                <w:sz w:val="24"/>
              </w:rPr>
            </w:pPr>
            <w:r>
              <w:rPr>
                <w:rFonts w:hint="eastAsia"/>
                <w:lang w:val="en-US" w:eastAsia="zh-CN"/>
              </w:rPr>
              <w:t>十一</w:t>
            </w:r>
          </w:p>
        </w:tc>
        <w:tc>
          <w:tcPr>
            <w:tcW w:w="2293" w:type="dxa"/>
            <w:vAlign w:val="top"/>
          </w:tcPr>
          <w:p>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s="仿宋"/>
                <w:sz w:val="21"/>
                <w:szCs w:val="21"/>
              </w:rPr>
            </w:pPr>
            <w:r>
              <w:rPr>
                <w:rFonts w:hint="eastAsia" w:ascii="仿宋_GB2312" w:hAnsi="仿宋_GB2312" w:eastAsia="仿宋_GB2312" w:cs="仿宋_GB2312"/>
                <w:sz w:val="15"/>
                <w:szCs w:val="15"/>
                <w:lang w:val="en-US" w:eastAsia="zh-CN"/>
              </w:rPr>
              <w:t>一些地方对群众环境诉求重视不够。</w:t>
            </w:r>
          </w:p>
        </w:tc>
        <w:tc>
          <w:tcPr>
            <w:tcW w:w="177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群众投诉环保信访问题及时得到有效化解，切实解决群众反映强烈的生态环境问题</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p>
        </w:tc>
        <w:tc>
          <w:tcPr>
            <w:tcW w:w="4740"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铁西区信访局成立由主要领导任组长、分管领导任副组长，接待科、网投科、联席会议办公室负责人为成员的铁西区信访局环保信访问题接待处置工作专班，及时转办案件，切实解决好群众反映的生态环境问题。</w:t>
            </w: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2.铁西区信访局建立环保信访问题处置机制，结合工作实际，研究制定环保信访问题接待处置工作方案，做到第一时间呈报，第一时间会同责任部门进行研判，确保群众反映的生态环境问题及时解决。</w:t>
            </w: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按照中央生态环境保护督察四平市工作协调联络组印发《关于做好第二轮中央生态环境保护督察信访案件办理工作的通知》环督四联[2021]2号要求，铁西区辽河办组织各部门进一步落实信访案件办理工作机制、程序、标准和要求，持续办好中央和省级生态环境保护督察交办的信访案件。</w:t>
            </w: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铁西区辽河办组织各部门按照《四平市生态环境保护督察群众投诉举报案件销号清零行动实施方案》（四督改办[2021]1号）的要求，对中央和省级生态环境保护督察交办信访案件进行结案销号，并做好结案销号相关工作。</w:t>
            </w:r>
          </w:p>
          <w:p>
            <w:pPr>
              <w:widowControl w:val="0"/>
              <w:wordWrap/>
              <w:adjustRightInd/>
              <w:snapToGrid/>
              <w:spacing w:before="0" w:after="0" w:line="240" w:lineRule="auto"/>
              <w:ind w:left="0" w:leftChars="0" w:right="0" w:firstLine="0" w:firstLineChars="0"/>
              <w:jc w:val="both"/>
              <w:textAlignment w:val="auto"/>
              <w:outlineLvl w:val="9"/>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铁西区辽河办定期对中央、省级生态环境保护督察交办信访案件办理情况进行调度，生态环境局铁西区分局对各案件办理情况进行再排查，对多次重复举报问题深入调查，确保案件查处到位，群众合理诉求得到满足。</w:t>
            </w: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w:t>
            </w:r>
          </w:p>
        </w:tc>
        <w:tc>
          <w:tcPr>
            <w:tcW w:w="6117" w:type="dxa"/>
            <w:vAlign w:val="top"/>
          </w:tcPr>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lang w:val="en-US" w:eastAsia="zh-CN"/>
              </w:rPr>
              <w:t>1.</w:t>
            </w:r>
            <w:r>
              <w:rPr>
                <w:rFonts w:hint="eastAsia" w:ascii="仿宋_GB2312" w:hAnsi="仿宋_GB2312" w:eastAsia="仿宋_GB2312" w:cs="仿宋_GB2312"/>
                <w:sz w:val="15"/>
                <w:szCs w:val="15"/>
                <w:lang w:val="en-US" w:eastAsia="zh-CN"/>
              </w:rPr>
              <w:t>2021年12月15日，铁西区信访局成立以主要领导任组长、分管领导任副组长，接待科、网投科、联席会议办公室负责人为成员的环保信访问题接待工作专班及时转办案件，切实解决好群众反映的生态环境问题。</w:t>
            </w: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2.铁西区信访局2022年9月2日，制定《中共四平市铁西区人民政府信访局接待处置、化解环保类信访案件工作方案》做到第一时间呈报，第一时间会同责任部门进行研判，确保群众反映的生态环境问题及时解决。</w:t>
            </w:r>
          </w:p>
          <w:p>
            <w:pPr>
              <w:widowControl w:val="0"/>
              <w:wordWrap/>
              <w:adjustRightInd/>
              <w:snapToGrid/>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按照《关于做好第二轮中央生态环境保护督察信访案件办理工作的通知》铁西区辽河办印发铁西区关于转发中央生态环境保护督察四平市工作协调联络组《关于做好第二轮中央生态环境保护督察信访案件办理工作通知》的函，持续办好中央和省级生态环境保护督察交办的信访案件。</w:t>
            </w:r>
          </w:p>
          <w:p>
            <w:pPr>
              <w:widowControl w:val="0"/>
              <w:wordWrap/>
              <w:adjustRightInd/>
              <w:snapToGrid/>
              <w:spacing w:before="0" w:after="0" w:line="240" w:lineRule="auto"/>
              <w:ind w:left="0" w:leftChars="0" w:right="0" w:firstLine="0" w:firstLineChars="0"/>
              <w:jc w:val="both"/>
              <w:textAlignment w:val="auto"/>
              <w:outlineLvl w:val="9"/>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4.铁西区辽河办组织各部门按照《四平市生态环境保护督察群众投诉举报案件销号清零行动实施方案》要求，对各级环保督察期间群众投诉举报案件进行专项行动并于2021年12月27日形成工作总结。</w:t>
            </w:r>
          </w:p>
          <w:p>
            <w:pPr>
              <w:widowControl w:val="0"/>
              <w:wordWrap/>
              <w:adjustRightInd/>
              <w:snapToGrid/>
              <w:spacing w:before="0" w:after="0" w:line="240" w:lineRule="auto"/>
              <w:ind w:left="0" w:leftChars="0" w:right="0" w:firstLine="0" w:firstLineChars="0"/>
              <w:jc w:val="both"/>
              <w:textAlignment w:val="auto"/>
              <w:outlineLvl w:val="9"/>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5.2022年3月3日，印发四平市生态环境保护督察反馈问题整改工作领导小组办公室关于印发《四平市生态环境保护督察信访案件“回头看”专项行动方案》的通知，对铁西区各级环保督察所涉及的信访案件进行“回头看”，2022年5月20日，印发《关于上报铁西区生态环境保护督察信访案件“回头看”专项行动工作总结的通知》要去铁西区各级环保督察信访案件所涉及的部门上交信访案件“回头看”专项行动工作总结。</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default" w:ascii="仿宋_GB2312" w:hAnsi="仿宋_GB2312" w:eastAsia="仿宋_GB2312" w:cs="仿宋_GB2312"/>
                <w:sz w:val="15"/>
                <w:szCs w:val="15"/>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jA5MGIwYzNkNzIxNmM0NDRlY2NlOWIwNjY4NzUifQ=="/>
  </w:docVars>
  <w:rsids>
    <w:rsidRoot w:val="2D5F347E"/>
    <w:rsid w:val="2D5F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cs="Times New Roman"/>
    </w:r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2022-12-30T08:09:00Z</dcterms:created>
  <dc:creator>少年宫舞蹈艺术培训中心</dc:creator>
  <cp:lastModifiedBy>少年宫舞蹈艺术培训中心</cp:lastModifiedBy>
  <dcterms:modified xsi:type="dcterms:W3CDTF">2022-12-30T08:10:22Z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205244887A784EAFAA639D158D3A314F</vt:lpwstr>
  </property>
</Properties>
</file>